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ATAS/465/2022 vom 18. Mai 2022</w:t>
      </w:r>
    </w:p>
    <w:p>
      <w:r>
        <w:t>GE Cour de justice, 2022-05-18, FR</w:t>
      </w:r>
    </w:p>
    <w:p>
      <w:r>
        <w:rPr>
          <w:b/>
        </w:rPr>
        <w:t xml:space="preserve">Quelle: </w:t>
      </w:r>
      <w:r>
        <w:t>https://mcp.opencaselaw.ch/entscheid/ge_gerichte_ATAS_465_2022</w:t>
      </w:r>
    </w:p>
    <w:p>
      <w:r>
        <w:t>FR: GE_GERICHTE ATAS/465/2022 du 18 mai 2022</w:t>
      </w:r>
    </w:p>
    <w:p>
      <w:r>
        <w:t>IT: GE_GERICHTE ATAS/465/2022 del 18 maggio 2022</w:t>
      </w:r>
    </w:p>
    <w:p>
      <w:pPr>
        <w:pStyle w:val="Heading2"/>
      </w:pPr>
      <w:r>
        <w:t>Erwägungen</w:t>
      </w:r>
    </w:p>
    <w:p>
      <w:r>
        <w:rPr>
          <w:b/>
        </w:rPr>
        <w:t>E. 1</w:t>
      </w:r>
    </w:p>
    <w:p>
      <w:r>
        <w:t>a. Aux termes de l'art. 58 al. 1 LPGA (RS 830.1), en liaison avec l'art. 1 er al. 1 de la loi fédérale sur l'assurance-accidents, du 20 mars 1981 (LAA - RS 832.20)., le tribunal des assurances compétent pour connaître d'un recours contre une décision en matière d'assurance-accidents obligatoire est celui du canton de domicile de l'assuré ou d'une autre partie au moment du dépôt du recours. Selon l'al. 2,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En l'espèce, lors du dépôt du recours, la recourante était domiciliée en France. Auparavant, elle avait travaillé pour les HUG, à Genève. Par conséquent, le tribunal compétent est celui du canton de Genève. b.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LAA. Sa compétence ratione loci et materiae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t>A/1451/2020 - 9/15 -</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rPr>
          <w:b/>
        </w:rPr>
        <w:t>E. 6</w:t>
      </w:r>
    </w:p>
    <w:p>
      <w:r>
        <w:t>Le litige porte sur le point de savoir si la recourante a droit à des prestations d’assurance, plus particulièrement à une rente d'invalidité, suite à l’annonce de la rechute.</w:t>
      </w:r>
    </w:p>
    <w:p>
      <w:r>
        <w:rPr>
          <w:b/>
        </w:rPr>
        <w:t>E. 7</w:t>
      </w:r>
    </w:p>
    <w:p>
      <w:r>
        <w:t>a. Préalablement, il convient de rappeler que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b.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c.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8</w:t>
      </w:r>
    </w:p>
    <w:p>
      <w:r>
        <w:t>a. Le droit à des prestations découlant d'un accident assuré suppose d'abord, entre l'événement dommageable de caractère accidentel et l'atteinte à la santé, un lien de</w:t>
      </w:r>
    </w:p>
    <w:p>
      <w:r>
        <w:t>A/1451/2020 - 10/15 -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b.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Les notions de syndrome douloureux régional complexe (CRPS - Complex regional pain syndrome en anglais), algodystrophie ou maladie de Suedeck appartiennent aux maladies neurologiques, orthopédiques et traumatologiques et constituent ainsi une atteinte à la santé physique, respectivement corporelle (arrêt du Tribunal fédéral 8C_955/2008 du 29 avril 2009 consid. 6).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w:t>
      </w:r>
    </w:p>
    <w:p>
      <w:r>
        <w:t>A/1451/2020 - 11/15 - après apoplexie, après ou lors de l’ingestion de barbituriques, lors de tumeurs, de grossesses; etc.) et c) une courte période de latence entre l'accident et l'apparition de l'algodystrophie, soit au maximum six à huit semaines (arrêts du Tribunal fédéral 8C_871/2010 du 4 octobre 2011 consid. 3.2 et 8C_384/2009 du 5 janvier 2010 consid. 4.2.1 in SVR 2010 UV n° 18 p. 69). Pour admettre un lien de causalité naturelle, il n'est pas déterminant que le diagnostic ait été posé dans les six à huit semaines après l’accident, mais que sur la base de constatations médicales fournies en temps réel, on puisse conclure que durant cette période de latence l'assuré a souffert au moins en partie des symptômes typiques de ce diagnostic. La causalité naturelle peut également être admise si le syndrome fait suite à une opération en lien avec l'accident (arrêt du Tribunal fédéral 8C_27/2019 du 20 août 2019 consid. 6.4.2 et les références citées).</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w:t>
      </w:r>
    </w:p>
    <w:p>
      <w:r>
        <w:t>A/1451/2020 - 12/15 -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10</w:t>
      </w:r>
    </w:p>
    <w:p>
      <w:r>
        <w:t>En l’espèce, dans son rapport d’expertise du 22 décembre 2017, le Dr B______ rappelle qu'il avait déjà examiné la patiente en expertise le 2 novembre 2012. Elle présentait alors des signes cliniques d'une algoneurodystrophie de Südeck post- traumatique de l'épaule gauche ave une limitation fonctionnelle modérément douloureuse et une diminution de la force du membre supérieur gauche ne lui permettant pas de reprendre son activité professionnelle habituelle d'instrumentiste ni d’infirmière. Le 1er mars 2013 elle avait repris une activité professionnelle adaptée à temps complet comme opératrice au 144. Les douleurs résiduelles se sont à nouveau aggravées à partir de 2014, mais de façon différente qu'en 2012. En effet, les troubles dystrophiques de Südeck n'étaient plus systématiquement retrouvés et une scintigraphie osseuse effectuée le 29 août 2014 à Carcassone s'est avérée normale. Le Dr B______ a demandé un nouvel examen le 11 décembre 2017 et la scintigraphie n'a montré à nouveau aucun signe suspect d'une algoneurodystrophie de Südeck. L'examen neurologique avec ENMG effectué à sa demande par le Dr I______ le 18 décembre 2017 montre une aggravation significative de la vitesse de conduction sensitive du médian au tunnel carpien gauche par rapport à l'ENMG de 2015, mais insuffisante pour expliquer les plaintes subjectives et de toute façon sans indication thérapeutique particulière. L'expert relève qu'en 2017, la patiente s'est progressivement confortée dans un rôle d'invalide, puis d'impotent avec un appareillage démonstratif au membre supérieur gauche, de très nombreux moyens auxiliaires et des soins infirmiers quotidiens à domicile. L'addiction médicamenteuse, notamment morphinique, persiste avec prescription par deux médecins différents à deux endroits différents de la France. L'expert conclut qu'on peut raisonnablement exclure des séquelles anatomiques significatives sur le plan ostéo-articulaire du membre supérieur gauche ainsi qu'une maladie de Südeck résiduelle. Quant au syndrome du tunnel carpien gauche, apparu en 2015, il ne peut pas être mis en lien de causalité avec l'ancien Südeck dont les traces avaient déjà</w:t>
      </w:r>
    </w:p>
    <w:p>
      <w:r>
        <w:t>A/1451/2020 - 13/15 - disparu en 2014. Par conséquent, sur le plan strictement somatique, il n'y a aujourd'hui plus de lésion anatomique objectivable susceptible d'être mise en lien de causalité naturelle résiduel pour le moins probable avec l’accident du 5 mai 2011. Le rôle des facteurs non somatiques sont hautement prépondérants, voire exclusifs, dans l'état de santé actuel de la patiente. Sur le plan somatique et en lien de causalité avec l'accident, l'expert considère que rien ne s'opposerait à une reprise du travail comme régulatrice au 144 même à temps complet. Concernant l'atteinte à l'intégrité, l'expert indiquait qu'il est difficile de retenir un taux d'atteinte à l'intégrité en l'absence de lésion somatique objectivable susceptible d'être mise en relation avec l'accident de 2011. La chambre de céans constate que l'expertise du Dr B______ remplit tous les réquisits jurisprudentiels pour se voir attribuer pleine valeur probante. L'expert a examiné la recourante, il a pris en compte ses plaintes, a procédé à des examens complémentaires radiologique et neurologique et a pris connaissance de l'intégralité du dossier. Le rapport d'expertise comporte une anamnèse détaillée, le résultat de l'examen clinique, une analyse et discussion circonstanciées du cas au regard de la vraisemblance prépondérante. Les conclusions du Dr B______ sont claires, motivées et convaincantes.</w:t>
      </w:r>
    </w:p>
    <w:p>
      <w:r>
        <w:rPr>
          <w:b/>
        </w:rPr>
        <w:t>E. 11</w:t>
      </w:r>
    </w:p>
    <w:p>
      <w:r>
        <w:t>La recourante conteste la valeur probante de l'expertise du Dr B______, en se fondant plus particulièrement sur "l'expertise" du Dr F______ du 13 mars 2018, selon lesquels elle souffre d'un CRPS post-traumatique. A cet égard, la chambre de céans constate, ainsi que le Dr B______ l'a relevé dans son avis du 4 avril 2018, que le Dr F______ émet un avis de partie et non d'expert neutre. Il ne semble en effet ne pas avoir eu connaissance de l'intégralité du dossier, ne se prononce pas sur les facteurs non somatiques et de suradaptation dans un rôle d'invalide évoqués par d'autres intervenants et, enfin, ne se prononce pas non plus sur le lien de causalité naturelle au regard de la vraisemblance prépondérante applicable en matière d'assurances sociales. Ses conclusions ne sont pas de nature à remettre en cause celles de l'expert B______. Quant au rapport du Dr C______, force est de constater que ce dernier ne discute pas non plus de la vraisemblance prépondérante. Son avis ne permet pas de remettre en cause les conclusions claires du Dr B______. Concernant enfin les troubles psychiques survenus dans un contexte particulier (conflit avec un supérieur hiérarchique), ils ne sont pas en relation de causalité avec l'accident, bénin, et sont à charge de l'assurance-maladie, étant rappelé que la recourante avait retrouvé une pleine capacité de travail.</w:t>
      </w:r>
    </w:p>
    <w:p>
      <w:r>
        <w:rPr>
          <w:b/>
        </w:rPr>
        <w:t>E. 12</w:t>
      </w:r>
    </w:p>
    <w:p>
      <w:r>
        <w:t>Force est de constater que les rapports médicaux produits par la recourante ne permettent pas de remettre en cause les conclusions claires et convaincantes de l'expert B______.</w:t>
      </w:r>
    </w:p>
    <w:p>
      <w:r>
        <w:rPr>
          <w:b/>
        </w:rPr>
        <w:t>E. 13</w:t>
      </w:r>
    </w:p>
    <w:p>
      <w:r>
        <w:t>Mal fondé, le recours est rejeté.</w:t>
      </w:r>
    </w:p>
    <w:p>
      <w:r>
        <w:t>A/1451/2020 - 14/15 -</w:t>
      </w:r>
    </w:p>
    <w:p>
      <w:r>
        <w:rPr>
          <w:b/>
        </w:rPr>
        <w:t>E. 14</w:t>
      </w:r>
    </w:p>
    <w:p>
      <w:r>
        <w:t>La procédure est gratuite.</w:t>
      </w:r>
    </w:p>
    <w:p>
      <w:r>
        <w:t>A/1451/2020 - 15/15 -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