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ATAS/465/2020 vom 4. Juni 2020</w:t>
      </w:r>
    </w:p>
    <w:p>
      <w:r>
        <w:t>GE Cour de justice, 2020-06-04, FR</w:t>
      </w:r>
    </w:p>
    <w:p>
      <w:r>
        <w:rPr>
          <w:b/>
        </w:rPr>
        <w:t xml:space="preserve">Quelle: </w:t>
      </w:r>
      <w:r>
        <w:t>https://mcp.opencaselaw.ch/entscheid/ge_gerichte_ATAS_465_2020</w:t>
      </w:r>
    </w:p>
    <w:p>
      <w:r>
        <w:t>FR: GE_GERICHTE ATAS/465/2020 du 4 juin 2020</w:t>
      </w:r>
    </w:p>
    <w:p>
      <w:r>
        <w:t>IT: GE_GERICHTE ATAS/465/2020 del 4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w:t>
      </w:r>
    </w:p>
    <w:p>
      <w:r>
        <w:t>A/3859/2018 - 9/16 -</w:t>
      </w:r>
    </w:p>
    <w:p>
      <w:r>
        <w:rPr>
          <w:b/>
        </w:rPr>
        <w:t>E. 4</w:t>
      </w:r>
    </w:p>
    <w:p>
      <w:r>
        <w:t>Interjeté dans les forme et délai prévus par la loi, le recours est recevable (art. 56 LPGA; art. 62 al. 1 de la de loi sur la procédure administrative du 12 septembre 1985 [LPA - E 5 10]).</w:t>
      </w:r>
    </w:p>
    <w:p>
      <w:r>
        <w:rPr>
          <w:b/>
        </w:rPr>
        <w:t>E. 5</w:t>
      </w:r>
    </w:p>
    <w:p>
      <w:r>
        <w:t>Le litige porte sur le droit de l’assuré à des prestations de l’assurance-invalidité, en particulier sur l’évaluation de sa capacité de travail et de gain.</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w:t>
      </w:r>
    </w:p>
    <w:p>
      <w:r>
        <w:t>A/3859/2018 - 10/16 - 346;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w:t>
      </w:r>
    </w:p>
    <w:p>
      <w:r>
        <w:t>A/3859/2018 - 11/16 -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w:t>
      </w:r>
    </w:p>
    <w:p>
      <w:r>
        <w:t>A/3859/2018 - 12/16 -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12</w:t>
      </w:r>
    </w:p>
    <w:p>
      <w:r>
        <w:t>En l’espèce, la Cour de céans constate que le diagnostic de fibromyalgie a été posé par un médecin spécialiste. Le SMR ne pouvait dès lors, sans examen et au seul motif que les nouvelles normes diagnostiques n’auraient pas été appliquées, s’en écarter purement et simplement comme il l’a fait. En effet, en admettant même que les nouveaux critères diagnostiques aient été ignorés, cela n’implique pas pour autant que le diagnostic soit erroné. A tout le moins aurait-il fallu interpeller le spécialiste ou faire examiner l’assuré par un autre médecin spécialisé afin d’infirmer ou confirmer le diagnostic en question. En outre, le diagnostic de trouble dépressif léger a également été retenu par un médecin spécialiste. Là encore, le SMR l’a écarté sans autre, sans interpeller le médecin en question. Au vu du dossier, force est de constater que la capacité de travail réellement exigible n’a pas été évaluée dans le cadre d'une procédure d'établissement des faits structurée et sans résultat prédéfini, permettant de mettre en regard les facteurs extérieurs incapacitants d’une part et les ressources de compensation de la personne d’autre part. Tout examen de ce type fait défaut, alors même qu’un diagnostic de fibromyalgie et un autre de trouble psychique ont été posés par des spécialistes. C’est le lieu de rappeler qu’un rapport du SMR a pour fonction d'opérer la synthèse des renseignements médicaux versés au dossier et de prendre position à leur sujet, mais qu’il convient de poser des exigences strictes en matière de preuve concernant de tels documents et qu’une expertise doit être ordonnée si des doutes, même faibles, subsistent quant à la fiabilité ou à la pertinence des constatations effectuées par le SMR, ce qui est le cas en l’occurrence, pour les raisons qui viennent d’être mentionnées. Au vu de ce qui précède, le recours est partiellement admis et la décision litigieuse annulée. La cause est renvoyée à l’intimé pour mise sur pied d’une expertise rhumato-psychiatrique permettant de déterminer si les nouveaux indicateurs posés par la jurisprudence sont ou non remplis et quelle est la capacité réelle de travail de l’assuré dans une activité adaptée. Etant donné que, depuis le 1er juillet 2006, la procédure n'est plus gratuite (art. 69 al. 1bis LAI), au vu du sort du recours, il y a lieu de condamner l'intimé au paiement d'un émolument de CHF 400.-.</w:t>
      </w:r>
    </w:p>
    <w:p>
      <w:r>
        <w:t>A/3859/2018 - 16/16 -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