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ATAS/465/2011 vom 11. Mai 2011</w:t>
      </w:r>
    </w:p>
    <w:p>
      <w:r>
        <w:t>GE Cour de justice, 2011-05-11, FR</w:t>
      </w:r>
    </w:p>
    <w:p>
      <w:r>
        <w:rPr>
          <w:b/>
        </w:rPr>
        <w:t xml:space="preserve">Quelle: </w:t>
      </w:r>
      <w:r>
        <w:t>https://mcp.opencaselaw.ch/entscheid/ge_gerichte_ATAS_465_2011</w:t>
      </w:r>
    </w:p>
    <w:p>
      <w:r>
        <w:t>FR: GE_GERICHTE ATAS/465/2011 du 11 mai 2011</w:t>
      </w:r>
    </w:p>
    <w:p>
      <w:r>
        <w:t>IT: GE_GERICHTE ATAS/465/2011 del 11 maggio 2011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A/1075/2010 ATAS/465/2011 COUR DE JUSTICE Chambre des assurances sociales Arrêt du 11 mai 2011 4ème Chambre</w:t>
      </w:r>
    </w:p>
    <w:p>
      <w:r>
        <w:t>En la cause Madame N__________, domiciliée c/o M. O__________, à Châtelaine, comparant avec élection de domicile en l'étude de Maître Mauro POGGIA</w:t>
      </w:r>
    </w:p>
    <w:p>
      <w:r>
        <w:t>recourante</w:t>
      </w:r>
    </w:p>
    <w:p>
      <w:r>
        <w:t>contre CAISSE CANTONALE GENEVOISE DE COMPENSATION CCGC-AVS, sise route de Chêne 54, 1208 Genève intimée</w:t>
      </w:r>
    </w:p>
    <w:p>
      <w:r>
        <w:t>A/1075/2010 - 2/2 - Vu la décision sur opposition de la CAISSE CANTONALE GENEVOISE DE COMPENSATION (ci-après la Caisse) du 19 février 2010 confirmant sa décision du 15 décembre 2009 de laquelle il ressort que Madame N__________ est obligatoirement assurée à l’AVS/AI/APG/AF/AMat et soumise à l’obligation de cotiser en tant que salariée de la Délégation permanente de la Commission des Communautés européennes ; Vu le recours interjeté le 24 mars 2010 par l’intéressée par l’intermédiaire de son conseil, Me Mauro POGGIA, avocat ; Vu la réponse de la Caisse du 28 mai 2010 ; Vu l’ordonnance de suspension du 28 juin 2010 ; Vu le courrier du 2 mai 2011 du conseil de la recourante par lequel il indique retirer, au nom et pour le compte de cette dernière, le recours interjeté le 24 mars 2010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