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ATAS/464/2025 vom 19. Juni 2025</w:t>
      </w:r>
    </w:p>
    <w:p>
      <w:r>
        <w:t>GE Cour de justice, 2025-06-19, FR</w:t>
      </w:r>
    </w:p>
    <w:p>
      <w:r>
        <w:rPr>
          <w:b/>
        </w:rPr>
        <w:t xml:space="preserve">Quelle: </w:t>
      </w:r>
      <w:r>
        <w:t>https://mcp.opencaselaw.ch/entscheid/ge_gerichte_ATAS_464_2025</w:t>
      </w:r>
    </w:p>
    <w:p>
      <w:r>
        <w:t>FR: GE_GERICHTE ATAS/464/2025 du 19 juin 2025</w:t>
      </w:r>
    </w:p>
    <w:p>
      <w:r>
        <w:t>IT: GE_GERICHTE ATAS/464/2025 del 19 giugno 2025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du 30 mars 1911 [CO - RS 220] ; art. 52, 56a al. 1, et art. 73 de la loi fédérale sur la prévoyance professionnelle, vieillesse, survivants et invalidité du 25 juin 1982 [LPP - RS 831.40] ; art. 142 du Code civil du 16 décembre 1907 [CC - RS 210]).</w:t>
      </w:r>
    </w:p>
    <w:p>
      <w:r>
        <w:rPr>
          <w:b/>
        </w:rPr>
        <w:t>E. 1.2</w:t>
      </w:r>
    </w:p>
    <w:p>
      <w:r>
        <w:t>Le 1er janvier 2017, est entrée en vigueur la modification des art. 122ss CC concernant le partage des prestations de sortie des ex-époux, ainsi que des</w:t>
      </w:r>
    </w:p>
    <w:p>
      <w:r>
        <w:t>A/1188/2025 4/7 art. 280ss du Code de procédure civile du 19 décembre 2008 (CPC - RS 272) et 22ss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Cour de céans applique les dispositions légales dans leur nouvelle teneur (art. 7d Tit. fin. CC).</w:t>
      </w:r>
    </w:p>
    <w:p>
      <w:r>
        <w:rPr>
          <w:b/>
        </w:rPr>
        <w:t>E. 2.1</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rPr>
          <w:b/>
        </w:rPr>
        <w:t>E. 2.2</w:t>
      </w:r>
    </w:p>
    <w:p>
      <w:r>
        <w:t>Selon l'art. 22 LFLP (dans sa teneur en vigueur depuis le 1er janvier 2017), en cas de divorce, les prestations de sortie et les parts de rente sont partagées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w:t>
      </w:r>
    </w:p>
    <w:p>
      <w:r>
        <w:rPr>
          <w:b/>
        </w:rPr>
        <w:t>E. 2.3</w:t>
      </w:r>
    </w:p>
    <w:p>
      <w:r>
        <w:t>En cas de divorce ou de dissolution judiciaire du partenariat enregistré avant la survenance d'un cas de prévoyance, le versement anticipé reçu de l'institution de prévoyance et investi dans un bien immobilier pendant le mariage est considéré comme une prestation de libre passage et doit être partagé conformément aux art. 123 CC, 280 et 281 CPC et 22 à 22b LFLP (art. 30c al. 6 LPP, dans sa teneur en vigueur depuis le 1er janvier 2017). Pour déterminer le montant de la prestation de sortie à partager au moment du divorce, il y a donc lieu d'ajouter le montant du versement anticipé, qui conserve sa valeur nominale jusqu'au divorce. Toutefois, seuls sont pris en considération les</w:t>
      </w:r>
    </w:p>
    <w:p>
      <w:r>
        <w:t>A/1188/2025 5/7 montants qui font l'objet, au moment du divorce, d'une obligation de remboursement au sens de l'art. 30d LPP (ATF 135 V 324 consid. 5.1; ATF 132 V 347 consid. 3.3.; voir aussi ATF 128 V 230 consid. 3b et 3c et les références).</w:t>
      </w:r>
    </w:p>
    <w:p>
      <w:r>
        <w:rPr>
          <w:b/>
        </w:rPr>
        <w:t>E. 2.4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1% de 2017 à 2023 et 1.25% dès le 1er janvier 2024. Si le règlement de l'institution de prévoyance prévoit un taux d'intérêt supérieur pour l'avoir de vieillesse, ce taux est alors applicable (arrêt du Tribunal fédéral 9C_149/2017 du 10 octobre 2017 consid. 5.1).</w:t>
      </w:r>
    </w:p>
    <w:p>
      <w:r>
        <w:rPr>
          <w:b/>
        </w:rPr>
        <w:t>E. 2.5</w:t>
      </w:r>
    </w:p>
    <w:p>
      <w:r>
        <w:t>Que la prestation de prévoyance due au conjoint créancier constitue un avoir de prévoyance auprès d'une institution de prévoyance ou un avoir de libre passage auprès d'une institution de libre passage, le principe du calcul continu des intérêts déduit de l'art. 2 al. 3 LFLP doit s'appliquer sans distinction, le taux prévu par l'art. 12 OPP 2 étant déterminant, à défaut de taux réglementaire plus élevé (arrêt du Tribunal fédéral 9C_149/2017 du 10 octobre 2017 consid. 5.2.4).</w:t>
      </w:r>
    </w:p>
    <w:p>
      <w:r>
        <w:rPr>
          <w:b/>
        </w:rPr>
        <w:t>E. 3.1</w:t>
      </w:r>
    </w:p>
    <w:p>
      <w:r>
        <w:t>En l’espèce, le juge de première instance a ordonné le partage par moitié des prestations de sortie acquises durant le mariage par les demandeurs. Les dates pertinentes sont, d’une part, le 8 mai 2009, date du mariage, d’autre part le 26 mai 2023, date du dépôt de la demande en divorce.</w:t>
      </w:r>
    </w:p>
    <w:p>
      <w:r>
        <w:rPr>
          <w:b/>
        </w:rPr>
        <w:t>E. 3.2</w:t>
      </w:r>
    </w:p>
    <w:p>
      <w:r>
        <w:t>Selon les documents produits, la prestation acquise pendant le mariage par le demandeur est de CHF 68’263.85 (CHF 44'525.90 + CHF 10'344.13 - CHF 9'027.17 – CHF 579.02 + CHF 23’000.- [retrait anticipé]), tandis que celle acquise par la demanderesse est de CHF 1'476.75, les intérêts ayant déjà été calculés par les institutions de prévoyance défenderesses. Ainsi le demandeur doit à son ex-épouse le montant de CHF 34'131.90 (CHF 68'263.85 : 2) et celle-ci doit à celui-là le montant de CHF 738.40 (CHF 1'476.75 : 2), de sorte que c’est le demandeur qui doit à la demanderesse le montant de CHF 33'393.50 (CHF 34'131.90 – CHF 738.40).</w:t>
      </w:r>
    </w:p>
    <w:p>
      <w:r>
        <w:rPr>
          <w:b/>
        </w:rPr>
        <w:t>E. 3.3</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w:t>
      </w:r>
    </w:p>
    <w:p>
      <w:r>
        <w:t>A/1188/2025 6/7 minimum légal selon l'art. 12 OPP 2 ou selon le taux réglementaire, si celui-ci est supérieur (ATF 129 V 255 consid. 3).</w:t>
      </w:r>
    </w:p>
    <w:p>
      <w:r>
        <w:rPr>
          <w:b/>
        </w:rPr>
        <w:t>E. 3.4</w:t>
      </w:r>
    </w:p>
    <w:p>
      <w:r>
        <w:t>Aucun émolument ne sera perçu, la procédure étant gratuite (art. 73 al. 2 LPP et 89H al. 1 de la loi sur la procédure administrative du 12 septembre 1985 (LPA- GE - E 5 10). ***</w:t>
      </w:r>
    </w:p>
    <w:p>
      <w:r>
        <w:t>A/1188/2025 7/7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