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ATAS/464/2021 vom 5. Juni 2015</w:t>
      </w:r>
    </w:p>
    <w:p>
      <w:r>
        <w:t>GE Cour de justice, 2015-06-05, FR</w:t>
      </w:r>
    </w:p>
    <w:p>
      <w:r>
        <w:rPr>
          <w:b/>
        </w:rPr>
        <w:t xml:space="preserve">Quelle: </w:t>
      </w:r>
      <w:r>
        <w:t>https://mcp.opencaselaw.ch/entscheid/ge_gerichte_ATAS_464_2021</w:t>
      </w:r>
    </w:p>
    <w:p>
      <w:r>
        <w:t>FR: GE_GERICHTE ATAS/464/2021 du 5 juin 2015</w:t>
      </w:r>
    </w:p>
    <w:p>
      <w:r>
        <w:t>IT: GE_GERICHTE ATAS/464/2021 del 5 giugno 2015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A/1739/2020 - 9/21 -</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56ss LPGA et 62ss LPA).</w:t>
      </w:r>
    </w:p>
    <w:p>
      <w:r>
        <w:rPr>
          <w:b/>
        </w:rPr>
        <w:t>E. 4</w:t>
      </w:r>
    </w:p>
    <w:p>
      <w:r>
        <w:t>Le litige porte sur le droit de la recourante à des prestations de l'assurance- invalidité, plus particulièrement sur sa capacité de travail depuis juin 2015.</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w:t>
      </w:r>
    </w:p>
    <w:p>
      <w:r>
        <w:t>A/1739/2020 - 10/21 -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8</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w:t>
      </w:r>
    </w:p>
    <w:p>
      <w:r>
        <w:t>A/1739/2020 - 11/21 -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w:t>
      </w:r>
    </w:p>
    <w:p>
      <w:r>
        <w:t>A/1739/2020 - 12/21 - évidence par le Tribunal fédéral dans le cadre de leur appréciation médicale (ATF 132 V 65 consid. 4.2 et 4.3).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w:t>
      </w:r>
    </w:p>
    <w:p>
      <w:r>
        <w:t>A/1739/2020 - 13/21 -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Dans l’ATF 143 V 418,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w:t>
      </w:r>
    </w:p>
    <w:p>
      <w:r>
        <w:t>A/1739/2020 - 14/21 -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w:t>
      </w:r>
    </w:p>
    <w:p>
      <w:r>
        <w:t>A/1739/2020 - 15/21 - l’exigibilité repose sur une base objective (consid. 5.2.2; ATF 137 V 64 consid. 1.2 in fine).</w:t>
      </w:r>
    </w:p>
    <w:p>
      <w:r>
        <w:rPr>
          <w:b/>
        </w:rPr>
        <w:t>E. 10</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w:t>
      </w:r>
    </w:p>
    <w:p>
      <w:r>
        <w:t>A/1739/2020 - 16/21 - à la fatigue liée au cancer (cancer-related Fatigue) (ATF 139 V 346 consid. 3; arrêt du Tribunal fédéral 9C_73/2013 du 2 septembre 2013 consid. 5).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w:t>
      </w:r>
    </w:p>
    <w:p>
      <w:r>
        <w:t>A/1739/2020 - 17/21 - la valeur probante du rapport du médecin concerné et, par conséquent, la violation du principe mentionné (arrêt du Tribunal fédéral 9C/973/2011 du 4 mai 2012 consid. 3.2.1).</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Dans quelle mesure les traitements ont-ils été mis à profit ou négligés ?</w:t>
      </w:r>
    </w:p>
    <w:p>
      <w:r>
        <w:rPr>
          <w:b/>
        </w:rPr>
        <w:t>E. 13</w:t>
      </w:r>
    </w:p>
    <w:p>
      <w:r>
        <w:t>Les limitations du niveau d’activité sont-elles uniformes dans tous les domaines (professionnel mais aussi personnel) ? Quel est le niveau d’activité sociale et comment a-t-il évolué depuis la survenance de l’atteinte à la santé ?</w:t>
      </w:r>
    </w:p>
    <w:p>
      <w:r>
        <w:rPr>
          <w:b/>
        </w:rPr>
        <w:t>E. 14</w:t>
      </w:r>
    </w:p>
    <w:p>
      <w:r>
        <w:t>Mentionner, pour chaque diagnostic posé, les limitations fonctionnelles qu’il entraîne, a) dans l’activité habituelle (impliquant une interaction avec de jeunes enfants et la gestion de plusieurs classes d’une vingtaine d’élèves chacune, avec les exigences administratives y relatives et l’organisation d’évènements ponctuels) b) dans une activité adaptée (cas échéant, spécifier quelles activités seraient adaptées aux limitations fonctionnelles de l’assurée)</w:t>
      </w:r>
    </w:p>
    <w:p>
      <w:r>
        <w:rPr>
          <w:b/>
        </w:rPr>
        <w:t>E. 15</w:t>
      </w:r>
    </w:p>
    <w:p>
      <w:r>
        <w:t>Mentionner globalement les conséquences des divers diagnostics retenus sur la capacité de travail de l’assurée, en pourcent, a) dans l’activité habituelle b) dans une activité adaptée.</w:t>
      </w:r>
    </w:p>
    <w:p>
      <w:r>
        <w:rPr>
          <w:b/>
        </w:rPr>
        <w:t>E. 16</w:t>
      </w:r>
    </w:p>
    <w:p>
      <w:r>
        <w:t>Dater la survenance de l’incapacité de travail durable, le cas échéant, indiquer l'évolution de son taux et décrire son évolution.</w:t>
      </w:r>
    </w:p>
    <w:p>
      <w:r>
        <w:rPr>
          <w:b/>
        </w:rPr>
        <w:t>E. 17</w:t>
      </w:r>
    </w:p>
    <w:p>
      <w:r>
        <w:t>Évaluer l'exigibilité, en pourcent, d'une activité lucrative adaptée, indiquer depuis quand une telle activité est exigible et quel est le domaine d'activité adapté.</w:t>
      </w:r>
    </w:p>
    <w:p>
      <w:r>
        <w:rPr>
          <w:b/>
        </w:rPr>
        <w:t>E. 18</w:t>
      </w:r>
    </w:p>
    <w:p>
      <w:r>
        <w:t>Dire s'il y a une diminution de rendement et la chiffrer.</w:t>
      </w:r>
    </w:p>
    <w:p>
      <w:r>
        <w:rPr>
          <w:b/>
        </w:rPr>
        <w:t>E. 19</w:t>
      </w:r>
    </w:p>
    <w:p>
      <w:r>
        <w:t>Évaluer la possibilité d'améliorer la capacité de travail par des mesures médicales. Indiquer quelles seraient les propositions thérapeutiques et leur influence sur la capacité de travail.</w:t>
      </w:r>
    </w:p>
    <w:p>
      <w:r>
        <w:rPr>
          <w:b/>
        </w:rPr>
        <w:t>E. 20</w:t>
      </w:r>
    </w:p>
    <w:p>
      <w:r>
        <w:t>Commenter et discuter les avis médicaux du SMR, des expert et neuropsychologue s’étant déjà prononcés, ainsi que des médecins traitants et indiquer - cas échéant - pour quelles raisons ces avis sont confirmés ou écartés.</w:t>
      </w:r>
    </w:p>
    <w:p>
      <w:r>
        <w:rPr>
          <w:b/>
        </w:rPr>
        <w:t>E. 21</w:t>
      </w:r>
    </w:p>
    <w:p>
      <w:r>
        <w:t>Confirmez-vous l’allégation selon laquelle un test neuropsychologique n’est pas déterminant pour poser le diagnostic de TDA-H chez un adulte ?</w:t>
      </w:r>
    </w:p>
    <w:p>
      <w:r>
        <w:t>A/1739/2020 - 21/21 - 5. S'agissant plus particulièrement des troubles psychiques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h) Cas échéant, comment expliquer que les troubles psychiques présents depuis l'enfance – qui n'ont empêché l'assurée ni d'étudier, ni de travailler plusieurs années – soient désormais invalidants ? 6. Formuler un pronostic global. 7. Toute remarque utile et proposition. 8. Invite l'expert à déposer à sa meilleure convenance un rapport en trois exemplaires à la Cour de céans. 9. Réserve le fond.</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