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ATAS/464/2017 vom 26. Mai 2017</w:t>
      </w:r>
    </w:p>
    <w:p>
      <w:r>
        <w:t>GE Cour de justice, 2017-05-26, FR</w:t>
      </w:r>
    </w:p>
    <w:p>
      <w:r>
        <w:rPr>
          <w:b/>
        </w:rPr>
        <w:t xml:space="preserve">Quelle: </w:t>
      </w:r>
      <w:r>
        <w:t>https://mcp.opencaselaw.ch/entscheid/ge_gerichte_ATAS_464_2017</w:t>
      </w:r>
    </w:p>
    <w:p>
      <w:r>
        <w:t>FR: GE_GERICHTE ATAS/464/2017 du 26 mai 2017</w:t>
      </w:r>
    </w:p>
    <w:p>
      <w:r>
        <w:t>IT: GE_GERICHTE ATAS/464/2017 del 26 maggio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A/1739/2016 - 14/23 -</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degré d’invalidité du recourant.</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Pour pouvoir calculer le degré d’invalidité, l’administration (ou le juge en cas de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w:t>
      </w:r>
    </w:p>
    <w:p>
      <w:r>
        <w:t>A/1739/2016 - 15/23 - dossier (anamnèse), que la description des interférences médicales soit claire et enfin que les conclusions de l’expert soient bien motivées (ATF 125 V 351 consid. 3; ATF 122 V 157 consid. 1c).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(arrêt du Tribunal fédéral 9C_699/2011 du 21 mai 2012 consid. 4.2).</w:t>
      </w:r>
    </w:p>
    <w:p>
      <w:r>
        <w:rPr>
          <w:b/>
        </w:rPr>
        <w:t>E. 7</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w:t>
      </w:r>
    </w:p>
    <w:p>
      <w:r>
        <w:t>A/1739/2016 - 16/23 -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(arrêt du Tribunal fédéral 9C_619/2012 du 9 juillet 2013 consid. 4.1). En présence de tels syndromes, la mission d'expertise consistait surtout à porter une appréciation sur la vraisemblance de l'état douloureux et, le cas échéant, à déterminer si la personne expertisée disposait des ressources psychiques lui permettant de surmonter cet état (ATF 132 V 65 consid. 5.1).</w:t>
      </w:r>
    </w:p>
    <w:p>
      <w:r>
        <w:rPr>
          <w:b/>
        </w:rPr>
        <w:t>E. 8</w:t>
      </w:r>
    </w:p>
    <w:p>
      <w:r>
        <w:t>Dans un arrêt récent (ATF 141 V 281), le Tribunal fédéral a abandonné la présomption qui prévalait jusqu’alors,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n'y a plus lieu de se fonder sur les critères ressortant de la jurisprudence précitée, mais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A/1739/2016 - 17/23 -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w:t>
      </w:r>
    </w:p>
    <w:p>
      <w:r>
        <w:t>A/1739/2016 - 18/23 -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A/1739/2016 - 19/23 -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9</w:t>
      </w:r>
    </w:p>
    <w:p>
      <w:r>
        <w:t>En principe, une nouvelle jurisprudence doit s'appliquer immédiatement aux affaires pendantes au moment où elle est adoptée (ATF 135 II 78 consid. 3.2). Cela étant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w:t>
      </w:r>
    </w:p>
    <w:p>
      <w:r>
        <w:rPr>
          <w:b/>
        </w:rPr>
        <w:t>E. 10</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consid. 3.2). Si pour des raisons étrangères à l'invalidité, qui peuvent être liées à l'absence de formation scolaire ou professionnelles, aux connaissances linguistiques ou au statut de l'assuré, celui-ci a touché un revenu clairement inférieur à la moyenne, il y a lieu d'en tenir compte lors de l'évaluation de l'invalidité selon l'art. 16 LPGA s'il est établi que l'assuré n'entendait pas s'en contenter. Ce parallélisme des revenus se fera soit en tenant compte d'un revenu sans invalidité plus élevé que le revenu effectivement touché, soit en le fondant sur des valeurs statistiques, soit en</w:t>
      </w:r>
    </w:p>
    <w:p>
      <w:r>
        <w:t>A/1739/2016 - 20/23 - diminuant la valeur statistique du revenu d'invalide (ATF 134 V 322 consid. 4.1 et les références).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w:t>
      </w:r>
    </w:p>
    <w:p>
      <w:r>
        <w:rPr>
          <w:b/>
        </w:rPr>
        <w:t>E. 11</w:t>
      </w:r>
    </w:p>
    <w:p>
      <w:r>
        <w:t>En l’espèce, il convient en premier lieu de se pencher sur les expertises figurant au dossier. Du point de vue somatique, les expertises des Drs Q______, R______ et S______ sont en tous points conformes aux exigences émises par le Tribunal fédéral. Ces médecins ont en effet pris connaissance du dossier médical du recourant, qu’ils ont interrogé sur ses plaintes et son historique médical. Leurs diagnostics et leurs conclusions sont clairs et motivés et ont été posés après des examens cliniques complets. Partant, l’expertise de la CRR s’agissant du volet physique doit se voir reconnaître une pleine valeur probante. Il convient de suivre ses conclusions, selon lesquelles le recourant subit une diminution de rendement de 20% imputable au syndrome d’apnées du sommeil depuis novembre 2014 dans l’activité habituelle de nettoyage. Aucun élément médical au dossier ne justifie que l’on s’écarte desdites conclusions. En effet, le Dr J______, médecin traitant du recourant, a à plusieurs reprises signalé la difficulté à se prononcer sur la capacité de travail de ce dernier, ce qu’il a répété dans son rapport du 15 septembre 2016, en précisant qu’un travail adapté dans l’ancienne activité du recourant était envisageable. Les neurologues des HUG ne se sont quant à eux pas déterminés sur la capacité de travail du recourant dans leurs rapports du 22 décembre 2013 et du 1er avril 2014. Le Dr O______ a certes indiqué dans son rapport de janvier 2015 que l’activité exercée n’était plus exigible du recourant. Cette conclusion n’est cependant guère motivée et ce médecin a du reste qualifié l’atteinte de minime à modérée et renvoyé l’OAI au médecin traitant du recourant pour détermination de la capacité de travail. Quant au Dr Z______, dans son rapport du 19 septembre 2016, il n’a pas non plus motivé de manière suffisante sa conclusion selon laquelle le recourant ne pouvait reprendre une activité lucrative avant son rétablissement.</w:t>
      </w:r>
    </w:p>
    <w:p>
      <w:r>
        <w:t>A/1739/2016 - 21/23 - En revanche, s’agissant du volet psychique de l’expertise réalisée à la CRR, force est de constater que le Dr T______ ne s’est pas prononcé sur la capacité de travail en se fondant sur les critères jurisprudentiels applicables désormais en vertu de l’arrêt 141 V 281 du 3 juin 2015. Bien que les nouveaux critères en matière de troubles somatoformes douloureux soient en principe applicables à toutes les causes pendantes, ce changement de jurisprudence ne justifie cependant pas en soi de nier toute valeur probante aux expertises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 le cas échéant en les mettant en relation avec d'autres rapports médicaux – permettent ou non une appréciation concluante du cas à l'aune des indicateurs déterminants. Le Tribunal fédéral a d’ailleurs maintenu, voire renforcé, la portée des motifs d'exclusion définis dans l'ATF 131 V 49, aux termes desquels il y a lieu de conclure à l'absence d'une atteinte à la santé ouvrant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l’assuré et celles ressortant de l'anamnèse, le fait que des plaintes très démonstratives laissent insensible l'expert, ainsi que l'allégation de lourds handicaps malgré un environnement psycho-social intact (arrêt du Tribunal fédéral 9C_16/2016 du 14 juin 2016 consid. 3.1-3.2 et les références). En l’espèce, précisément, tous les experts ont relevé une très importante dramatisation de ses symptômes par le recourant. Ce dernier a en outre manifesté une grande inconstance dans la description des handicaps majeurs dont il s’est plaint aux différents médecins de la CRR. La neuropsychologue a elle aussi mis en avant le caractère inexplicable des résultats obtenus aux épreuves subies, scores qu’elle a qualifiés d’incohérents. Partant, cette exagération manifeste des troubles suffit à nier le droit à des prestations d’assurance dans le cas d’espèce, sans qu’il soit besoin de mettre en œuvre une nouvelle expertise psychiatrique conforme aux critères jurisprudentiels récemment modifiés. Eu égard aux considérations qui précèdent, c’est donc à juste titre que l’intimé s’est fondé sur les conclusions de l’expertise. Les griefs du recourant à cet égard doivent être écartés.</w:t>
      </w:r>
    </w:p>
    <w:p>
      <w:r>
        <w:rPr>
          <w:b/>
        </w:rPr>
        <w:t>E. 12</w:t>
      </w:r>
    </w:p>
    <w:p>
      <w:r>
        <w:t>S’agissant du calcul du degré d’invalidité, en revanche, un problème se pose.</w:t>
      </w:r>
    </w:p>
    <w:p>
      <w:r>
        <w:t>A/1739/2016 - 22/23 - L’intimé a considéré dans la décision litigieuse que le degré d’invalidité était de 20%, l’incapacité de gain se confondant avec l’incapacité de travail. Ce faisant, il a omis de tenir compte du fait que l’activité de nettoyage du recourant est celle qu’il a exercée après la survenance de la première atteinte à sa santé, laquelle avait conduit la Commission de recours à lui reconnaître un degré d’invalidité de 25.67% en 2002. Il s’agit ainsi d’un revenu d’invalide obtenu après réadaptation. Dès lors, l’intimé aurait dû examiner si le recourant subissait encore une invalidité dans son activité de nettoyeur. Dans l’affirmative, le calcul d’invalidité devra s’effectuer en comparant le revenu d’invalide à celui que le recourant réalisait en qualité de chapeur. En effet, dans un cas similaire, notre Haute-Cour a retenu, dans le cadre d’une révision du droit à la rente consécutive à une aggravation, que le revenu sans invalidité est celui réalisé avant la survenance de la première atteinte à la santé ayant fait l’objet de la décision initiale d’octroi de rente (arrêt du Tribunal fédéral 9C_238/2008 du 5 janvier 2009 consid. 5). Il convient donc de renvoyer la cause à l’intimé sur ce point. Eu égard à ce qui précède, le recours est partiellement admis. Le recourant a droit à des dépens, qui seront fixés à CHF 2'000.- (art. 61 let. g LPGA). La procédure en matière d’assurance-invalidité n'étant pas gratuite, l’intimé supporte l’émolument de CHF 200.- (art. 69 al. 1bis LAI).</w:t>
      </w:r>
    </w:p>
    <w:p>
      <w:r>
        <w:t>A/1739/2016 - 23/23 -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