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ATAS/464/2012 vom 4. April 2012</w:t>
      </w:r>
    </w:p>
    <w:p>
      <w:r>
        <w:t>GE Cour de justice, 2012-04-04, FR</w:t>
      </w:r>
    </w:p>
    <w:p>
      <w:r>
        <w:rPr>
          <w:b/>
        </w:rPr>
        <w:t xml:space="preserve">Quelle: </w:t>
      </w:r>
      <w:r>
        <w:t>https://mcp.opencaselaw.ch/entscheid/ge_gerichte_ATAS_464_2012</w:t>
      </w:r>
    </w:p>
    <w:p>
      <w:r>
        <w:t>FR: GE_GERICHTE ATAS/464/2012 du 4 avril 2012</w:t>
      </w:r>
    </w:p>
    <w:p>
      <w:r>
        <w:t>IT: GE_GERICHTE ATAS/464/2012 del 4 aprile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3</w:t>
      </w:r>
    </w:p>
    <w:p>
      <w:r>
        <w:t>En l’espèce, le juge de première instance a ordonné le partage par moitié des prestations de sortie acquises durant le mariage par les demandeurs. Les dates pertinentes sont, d’une part, celle du mariage, le 22 juin 2005, d’autre part le 8 octobre 2011, date à laquelle le jugement de divorce est devenu exécutoire.</w:t>
      </w:r>
    </w:p>
    <w:p>
      <w:r>
        <w:t>A/3341/2011 5/6 La Cour de céans relève à l’attention de la demanderesse que ses allégués quant aux biens que posséderaient son ex-époux à l’étranger, de même que ceux concernant la date de la séparation, la différence d’âge et son parcours professionnel sont irrelevants dans le cadre de la présente procédure. En effet, ainsi que rappelé ci- dessus, le juge des assurances sociales est lié par la clé de répartition prévue dans le jugement de divorce et doit uniquement exécuter le partage (ATF 132 III 401 consid. 2.2 p. 404; 132 V 337 consid. 2.2 p. 341).</w:t>
      </w:r>
    </w:p>
    <w:p>
      <w:r>
        <w:rPr>
          <w:b/>
        </w:rPr>
        <w:t>E. 4</w:t>
      </w:r>
    </w:p>
    <w:p>
      <w:r>
        <w:t>Selon les documents produits, la prestation acquise pendant le mariage par le demandeur est de 12'070 fr. 85 tandis que celle acquise par la demanderesse est de 114'859 fr. 10, les intérêts ayant déjà été calculés par les institutions de prévoyance défenderesses. Ainsi le demandeur doit à son ex-épouse le montant de 6'035 fr. 45 (12'070 fr. 85: 2) et celle-ci doit à celui-là le montant de 57'429 fr. 55 (114'859 fr. 10 : 2), de sorte que c’est la demanderesse qui doit au demandeur le montant de 51'394 fr. 10.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A/3341/2011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