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ATAS/463/2025 vom 17. Juni 2025</w:t>
      </w:r>
    </w:p>
    <w:p>
      <w:r>
        <w:t>GE Cour de justice, 2025-06-17, FR</w:t>
      </w:r>
    </w:p>
    <w:p>
      <w:r>
        <w:rPr>
          <w:b/>
        </w:rPr>
        <w:t xml:space="preserve">Quelle: </w:t>
      </w:r>
      <w:r>
        <w:t>https://mcp.opencaselaw.ch/entscheid/ge_gerichte_ATAS_463_2025</w:t>
      </w:r>
    </w:p>
    <w:p>
      <w:r>
        <w:t>FR: GE_GERICHTE ATAS/463/2025 du 17 juin 2025</w:t>
      </w:r>
    </w:p>
    <w:p>
      <w:r>
        <w:t>IT: GE_GERICHTE ATAS/463/2025 del 17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recevable.</w:t>
      </w:r>
    </w:p>
    <w:p>
      <w:r>
        <w:rPr>
          <w:b/>
        </w:rPr>
        <w:t>E. 2</w:t>
      </w:r>
    </w:p>
    <w:p>
      <w:r>
        <w:t>Le litige porte sur la question de la causalité entre les atteintes à l’épaule gauche dont souffre le recourant et son accident du 26 septembre 2017 et du droit à des prestations de l’intimée pour ces atteintes, du droit à une rente d’invalidité et du montant de l’IPAI.</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A/2605/2023 - 11/17 -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 traumatique » ne suffit pas, à elle seule, à reconnaître un lien de causalité entre un accident et des troubles. En effet, on peut entendre par une affection « post- traumatique » des troubles qui ne sont pas causés par l'accident mais qui ne sont apparus qu'après l'accident (arrêt du Tribunal fédéral 8C_493/2023 du 6 février 2024 consid. 4.2 et la référence).</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3.3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w:t>
      </w:r>
    </w:p>
    <w:p>
      <w:r>
        <w:t>A/2605/2023 - 12/17 -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w:t>
      </w:r>
    </w:p>
    <w:p>
      <w:r>
        <w:rPr>
          <w:b/>
        </w:rPr>
        <w:t>E. 3.5</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w:t>
      </w:r>
    </w:p>
    <w:p>
      <w:r>
        <w:rPr>
          <w:b/>
        </w:rPr>
        <w:t>E. 3.6</w:t>
      </w:r>
    </w:p>
    <w:p>
      <w:r>
        <w:t>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A/2605/2023 - 13/17 - prestations d’assurances sociales, il y a lieu de se baser sur des éléments médicaux fiables (ATF 134 V 231 consid 5.1).</w:t>
      </w:r>
    </w:p>
    <w:p>
      <w:r>
        <w:rPr>
          <w:b/>
        </w:rPr>
        <w:t>E. 3.8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3.9</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A/2605/2023 - 14/17 -</w:t>
      </w:r>
    </w:p>
    <w:p>
      <w:r>
        <w:rPr>
          <w:b/>
        </w:rPr>
        <w:t>E. 3.10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s’agissant du lien de causalité entre l’accident et les atteintes à l’épaule gauche, il s’avère que le recourant souffre de l’épaule gauche depuis 2019 et que le diagnostic d’une arthropathie acromio-claviculaire gauche et bursopathie sous acromio-deltoidienne gauche a été posé en 2020. Le recourant met en lien cette atteinte avec son accident de 2017 puisqu’il a subi un choc, qu’il qualifie de violent, au coude gauche lors de l’accident, atteinte au coude qui se serait répercutée sur l’épaule gauche par la suite. Le médecin-conseil de l’intimée ne reconnaît pas le lien de causalité entre l’accident et l’atteinte à l’épaule survenu plus d’un an après le choc au coude gauche. D’un point-de-vue médical, le Dr O______, médecin chef de clinique au département de chirurgie des HUG qui a pris position sur ce lien en dernier lieu, soit le 8 décembre 2023, à la suite de l’intervention réalisée aux HUG par le Dr M______, a affirmé qu’il n’était pas hautement vraisemblable que l’arthropathie ayant nécessité une prise en charge chirurgicale le 20 octobre 2023 (par le Dr M______ aux HUG) soit séquellaire à l’accident. Dans le même sens, le dossier contient le résultat du premier examen de l’épaule gauche, soit une scintigraphie faite en Colombie en septembre 2019, qui avait permis de conclure à des altérations dégénératives aux épaules et au sternum. Le médecin-conseil de l’intimée a, lui aussi, constaté sur la base des éléments médicaux du dossier que l’atteinte à l’épaule remontait à 2019 au plus tôt et a retenu qu’elle était d’origine dégénérative et sans lien avec l’accident de 2017. Le recourant conteste l’appréciation médicale du Dr O______ et des médecins interrogés par l’intimée. Il considère que le fait qu’il a été blessé au coude et au bras gauches durant l’accident suffit à établir que l’atteinte à l’épaule gauche dont il a souffert dès 2019 et pour laquelle il a été pris en charge aux HUG en octobre 2020 est la conséquence dudit accident. Ce raisonnement est cependant contredit par des éléments médicaux clairs figurant au dossier, plusieurs médecins ayant constaté des lésions dégénératives et se sont prononcés en défaveur du lien de causalité avec l’accident. En outre, le médecin généraliste du recourant a d’ailleurs indiqué dans un premier écrit destiné à l’intimée que son patient s’était plaint de l’épaule en sus du pied gauche en 2019 et faisait le lien avec son</w:t>
      </w:r>
    </w:p>
    <w:p>
      <w:r>
        <w:t>A/2605/2023 - 15/17 - accident. Quant au Dr M______, il a uniquement indiqué qu’il était vraisemblable que le traumatisme survenu lors de l’accident de circulation de 2017 soit à l’origine du développement de la symptomatologie douloureuse à l’épaule gauche sans prendre position sur les avis contraires ni sur la raison pour laquelle l’atteinte serait survenue plus de douze mois après l’accident. Ces avis ont ensuite été contredits par le médecin-conseil de l’intimée selon lequel il n’y a pas de lien de causalité pour le moins probable entre l’accident et une arthropathie dégénérative acromio-claviculaire et des lésions de type tendinopathie qui se sont manifestées plus de douze mois après l’évènement accidentel, et par le Dr O______, lequel est, de par sa spécialisation, plus à même de se prononcer dans ce domaine. La chambre se doit d’accorder plus de valeur probante à l’avis de ces derniers, en particulier à celui du spécialiste O______ qui s’est prononcé sur le cas du recourant, spécifiquement sur le lien de causalité, après sa prise en charge chirurgicale aux HUG. Il sera ajouté que l’expert orthopédique mandaté par l’OAI a également indiqué que les lésions de l'épaule gauche vues sur l'arthro-IRM n’étaient pas d’origine post-traumatique. Du point de vue rhumatologique, l’expertise mentionne que les lésions arthrosiques existaient certainement avant l'accident, mais que la chute avec impact sur le côté gauche avait pu les décompenser. Au vu de l’ensemble de ces éléments, le lien de causalité entre l'événement du 26 septembre 2017 et l’atteinte à l'épaule gauche ne peut pas être considéré comme établi au degré de la vraisemblance prépondérante.</w:t>
      </w:r>
    </w:p>
    <w:p>
      <w:r>
        <w:rPr>
          <w:b/>
        </w:rPr>
        <w:t>E. 5</w:t>
      </w:r>
    </w:p>
    <w:p>
      <w:r>
        <w:t>Quant à la rente d’invalidité, seules les lésions du pied gauche étant en lien de causalité avec l’accident, la comparaison entre le revenu avec invalidité pour un homme dans une activité simple et répétitive de niveau 1 exigible de l’assuré au vu de ses limitations fonctionnelles du pied, soit CHF 67’573.-, et le revenu réalisé avant l’accident de CHF 57'437.-, faite par l’intimée ne prête par le flanc à la critique. Cette comparaison ne permet pas de constater de perte de revenu, de sorte que le recourant ne peut pas prétendre à une rente de l’intimée. Force est en outre de constater que des experts en rhumatologie et en orthopédie qui se sont prononcés sur les différents atteintes y compris celle à l’épaule gauche dans l’expertise ordonnée par l’OAI, laquelle fait partie intégrante de la présente procédure et à laquelle une pleine valeur probante a été reconnue par la chambre de céans dans l’ATAS/773/2024 sont parvenus à la conclusion que, malgré les atteintes au pied et à l’épaule et les limitations fonctionnelles en résultant, le recourant conservait une pleine capacité de travail dans une activité adaptée. Il sera dès lors observé que même si l’on considérait que les lésions de l’épaule étaient imputables à l’accident, les revenus avec et sans invalidité seraient identiques, car fondés sur les mêmes données (statistiques s’agissant du revenu avec invalidité et réel s’agissant du revenu que le recourant aurait perçu sans</w:t>
      </w:r>
    </w:p>
    <w:p>
      <w:r>
        <w:t>A/2605/2023 - 16/17 - l’accident). Leur comparaison ne laisserait pas apparaître de perte de revenu, même à prendre en considération un abattement de 15% comme l’a fait l’OAI au vu des différentes lésions, au lieu de 5% retenu par l’intimée sur le revenu avec invalidité de CHF 67’573.-. En effet, dans ce cas, le revenu d’invalide serait de CHF 56'420.- et le revenu sans invalidité de CHF 57'437.-. Aucune perte de revenu ne serait dès lors constatée (CHF 56'420.- - CHF 57'437.- = + 1'017.-). Le recourant ne pourrait pas, même dans ce cas de figure le plus favorable, prétendre à une rente d’invalidité.</w:t>
      </w:r>
    </w:p>
    <w:p>
      <w:r>
        <w:rPr>
          <w:b/>
        </w:rPr>
        <w:t>E. 6</w:t>
      </w:r>
    </w:p>
    <w:p>
      <w:r>
        <w:t>Il en va de même de l’IPAI, seules les lésions du pied gauche étant en lien avec l’accident, l’intimée n’est tenue de prester que pour celles-ci. Le taux retenu par l’intimée se fonde sur l’avis de son médecin-conseil lequel a retenu le montant maximal pour ce type de lésion, ce qui n’est en soi pas contesté par le recourant. Ce point doit également être confirmé.</w:t>
      </w:r>
    </w:p>
    <w:p>
      <w:r>
        <w:rPr>
          <w:b/>
        </w:rPr>
        <w:t>E. 7</w:t>
      </w:r>
    </w:p>
    <w:p>
      <w:r>
        <w:t>Au vu de ce qui précède, le recours est rejeté.</w:t>
      </w:r>
    </w:p>
    <w:p>
      <w:r>
        <w:rPr>
          <w:b/>
        </w:rPr>
        <w:t>E. 8</w:t>
      </w:r>
    </w:p>
    <w:p>
      <w:r>
        <w:t>Pour le surplus, la procédure est gratuite (art. 61 let. fbis LPGA a contrario).</w:t>
      </w:r>
    </w:p>
    <w:p>
      <w:r>
        <w:t>A/2605/2023 - 17/17 -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