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ATAS/463/2020 vom 4. Juni 2020</w:t>
      </w:r>
    </w:p>
    <w:p>
      <w:r>
        <w:t>GE Cour de justice, 2020-06-04, FR</w:t>
      </w:r>
    </w:p>
    <w:p>
      <w:r>
        <w:rPr>
          <w:b/>
        </w:rPr>
        <w:t xml:space="preserve">Quelle: </w:t>
      </w:r>
      <w:r>
        <w:t>https://mcp.opencaselaw.ch/entscheid/ge_gerichte_ATAS_463_2020</w:t>
      </w:r>
    </w:p>
    <w:p>
      <w:r>
        <w:t>FR: GE_GERICHTE ATAS/463/2020 du 4 juin 2020</w:t>
      </w:r>
    </w:p>
    <w:p>
      <w:r>
        <w:t>IT: GE_GERICHTE ATAS/463/2020 del 4 giugno 2020</w:t>
      </w:r>
    </w:p>
    <w:p>
      <w:pPr>
        <w:pStyle w:val="Heading2"/>
      </w:pPr>
      <w:r>
        <w:t>Erwägungen</w:t>
      </w:r>
    </w:p>
    <w:p>
      <w:r>
        <w:rPr>
          <w:b/>
        </w:rPr>
        <w:t>E. 34</w:t>
      </w:r>
    </w:p>
    <w:p>
      <w:r>
        <w:t>Le 12 avril 2019, le recourant a retenu du rapport du Dr D______ une totale incapacité de travail jusqu’en septembre 2018, en raison d’un état dépressif de gravité sévère à moyenne ayant évalué favorablement pendant de brèves périodes. Il a proposé de réinterroger ce médecin afin que celui-ci fournisse un calendrier aussi détaillé que possible de la gravité des épisodes dépressifs.</w:t>
      </w:r>
    </w:p>
    <w:p>
      <w:r>
        <w:rPr>
          <w:b/>
        </w:rPr>
        <w:t>E. 35</w:t>
      </w:r>
    </w:p>
    <w:p>
      <w:r>
        <w:t>Invité par la Cour de céans à détailler l’évolution des épisodes dépressifs, le Dr D______ a répondu, le 6 mai 2019, qu’au vu de son dossier, la capacité de travail avait été nulle du 15 octobre 2011 au 29 janvier 2012, en raison d’un trouble de l’adaptation, puis d’un épisode dépressif sévère, avec une « reprise au chômage » le 30 janvier 2012. Une rechute dépressive s’était produite suite au décès du père de l’assuré, le 9 juillet 2013, avec des périodes de rechute et d’amélioration en 2014 entremêlés et une reprise à 100% le 1er septembre 2015. Par la suite, l’assuré a subi des rechutes dépressives moins sévères et plus fluctuantes, que le médecin s’est dit toutefois incapable de préciser, dans la mesure où il a été lui-même opéré d’un cancer.</w:t>
      </w:r>
    </w:p>
    <w:p>
      <w:r>
        <w:rPr>
          <w:b/>
        </w:rPr>
        <w:t>E. 36</w:t>
      </w:r>
    </w:p>
    <w:p>
      <w:r>
        <w:t>Le 27 mai 2019, l’intimé a persisté dans ses conclusions en rejet du recours.</w:t>
      </w:r>
    </w:p>
    <w:p>
      <w:r>
        <w:t>A/1753/2018 - 9/18 - Il relève que les périodes d’incapacité de travail attestées par le Dr D______ ne correspondent pas à ses rapports antérieurs, dans lesquels il n’a pas attesté de période d’incapacité de travail durable. Il n’a pas non plus attesté d’incapacité de travail postérieurement au 30 avril 2014, pas plus qu’il n’a précisé le début de son nouveau suivi.</w:t>
      </w:r>
    </w:p>
    <w:p>
      <w:r>
        <w:rPr>
          <w:b/>
        </w:rPr>
        <w:t>E. 37</w:t>
      </w:r>
    </w:p>
    <w:p>
      <w:r>
        <w:t>Le 11 mars 2020, la Cour a interrogé le Dr B______ et lui a notamment demandé de clarifier son attestation du 2 mai 2017.</w:t>
      </w:r>
    </w:p>
    <w:p>
      <w:r>
        <w:rPr>
          <w:b/>
        </w:rPr>
        <w:t>E. 38</w:t>
      </w:r>
    </w:p>
    <w:p>
      <w:r>
        <w:t>Le Dr B______ s’est exécuté le 30 avril 2020, en précisant tout d’abord n’avoir pas revu l’assuré depuis deux ans, l’intéressé étant désormais suivi aux Hôpitaux universitaires de Genève (HUG) par la consultation de la douleur, par un neurochirurgien et par un psychiatre. Du 23 mars au 30 avril 2017, il a été mis en arrêt de travail, en raison de douleurs hémorroïdaires sévères, de cervicobrachialgies invalidantes et de troubles anxieux, entraînant des insomnies, une baisse de la concentration et une asthénie. Compte tenu d’un amendement de l’état anxieux, mais d’une persistance des douleurs cervicales, irradiant dans les épaules, le médecin a adressé le patient à un spécialiste en orthopédie, le docteur O______, puis, en juillet 2017, à un neurochirurgien ainsi qu’à un médecin physique, après plusieurs infiltrations de cortisone au niveau cervical. Son patient lui a indiqué, le 2 mai 2017, qu’au vu de la fin de son stage de réinsertion professionnelle, il n’avait plus besoin d’arrêt de travail, mais, sur le plan médical, persistaient clairement des douleurs d’ordre rhumatologique. L’assuré a été soigné au moyen d’antidouleurs, d’anti-inflammatoires, de Stilnox et de Xanax. Il a également subi plusieurs infiltrations et effectué de la physiothérapie au niveau cervical. À la question de savoir s’il partageait le point de vue du SMR, selon lequel son patient avait recouvré une pleine capacité de travail comme responsable d’immeuble dès le 2 mai 2017, le médecin a répondu par la négative, relevant que l’assuré décrivait alors une persistance de symptômes rhumatologiques au niveau cervical, irradiant dans les épaules. De surcroît, le patient avait été ensuite vu par un orthopédiste, puis adressé à un neurologue, à un médecin physique et à un neurochirurgien, lesquels avaient tous confirmé des symptômes douloureux et invalidants. Ces symptômes avaient motivé des traitements lourds, tels que des infiltrations et, vu l’évolution, une intervention chirurgicale avait été réalisée en 2019. Le Dr B______ a produit une série de pièces, dont il ressort notamment que l’assuré a effectivement été opéré aux HUG, le 14 mars 2019, d’une hernie discale C5-C6 et C6-C7, avec canal cervical étroit. Il a également annexé plusieurs rapports de consultation, en lien avec des contractions musculaires post-opératoires.</w:t>
      </w:r>
    </w:p>
    <w:p>
      <w:r>
        <w:t>A/1753/2018 - 10/18 -</w:t>
      </w:r>
    </w:p>
    <w:p>
      <w:r>
        <w:rPr>
          <w:b/>
        </w:rPr>
        <w:t>E. 39</w:t>
      </w:r>
    </w:p>
    <w:p>
      <w:r>
        <w:t>Invité à se déterminer sur le rapport du Dr B______ et ses annexes, l’intimé, par écriture du 19 mai 2020, a conclu au renvoi du dossier pour instruction complémentaire et nouvelle décision, les nouvelles pièces versées au dossier rendant vraisemblable une aggravation de l’état de santé, à tout le moins depuis 2017, en lien avec un syndrome rachidien cervical et lombaire. Par ailleurs, l’assuré était suivi par un psychiatre depuis 2019. Le SMR préconisait de mettre en œuvre une expertise en rhumatologie, neurochirurgie et psychiatrie, afin de préciser la capacité résiduelle de travail et son évolution dans le temps.</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3. Interjeté dans les forme et délai prévus par la loi, le recours est recevable (art. 56 et 60 LPGA ; art. 89B de la loi sur la procédure administrative du 12 septembre 1985 – [LPA-GE – E 5 10]).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au vu de la décision attaquée et des conclusions du recours, le litige porte sur le droit de l’assuré à une rente d’invalidité, dans le cadre de la (nouvelle) demande déposée en 2010. 5. 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1er janvier 2008 – 5ème révision AI). En vertu de l’art. 28 al. 2 LAI, l’assuré a droit à une rente entière</w:t>
      </w:r>
    </w:p>
    <w:p>
      <w:r>
        <w:t>A/1753/2018 - 11/18 - s’il est invalide à 70 % au moins, à un trois-quarts de rente s’il est invalide à 60 % au moins, à une demi-rente s’il est invalide à 50 % au moins, ou à un quart de rente s’il est invalide à 40 % au moins. En vertu de l’art. 29 al. 1 LAI, en vigueur depuis le 1er janvier 2008, le droit à la rente prend naissance au plus tôt à l’échéance d’une période de six mois à compter de la date à laquelle l’assuré a fait valoir son droit aux prestations conformément à l’art. 29 al. 1er LPGA, mais pas avant le mois qui suit le dix-huitième anniversaire de l’assuré. Le droit ne prend pas naissance tant que l’assuré peut faire valoir son droit à une indemnité journalière au sens de l’art. 22 LAI (al. 2). La rente est versée dès le début du mois au cours duquel le droit prend naissance (al. 3). En vertu du principe selon lequel la réadaptation a la priorité sur la rente, le droit à la rente ne prend pas naissance tant que l’assuré peut faire valoir son droit à des indemnités journalières au sens de l’art. 22 LAI. Par ailleurs, le droit à ces indemnités interrompt en principe le droit à la rente qui a pris naissance ou qui est en train de naître. Demeurent toutefois réservées les dispositions des art. 47 al. 1ter et 22 al. 5bis LAI, qui prévoient le maintien de la rente durant l’exécution des mesures de réadaptation, et l’art. 20ter al. 1 RAI, qui précise que, lorsque l’indemnité journalière, y compris la prestation pour enfant, est inférieure à la rente versée jusqu’ici, la rente continue d’être allouée au lieu de l’indemnité journalière (Michel VALTÉRIO, Commentaire de la loi fédérale sur l'assurance-invalidité, 2018, n°6 ad art. 29 LAI et les références citées).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w:t>
      </w:r>
    </w:p>
    <w:p>
      <w:r>
        <w:t>A/1753/2018 - 12/18 -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7.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S’agissant du caractère invalidant d’affections psychiques, il n'y a plus lieu de se fonder sur les critères de l'ATF 130 V 352, mais sur une grille d’analyse comportant divers indicateurs qui rassemblent les éléments essentiels propres aux troubles de nature psychosomatique (ATF 141 V 281 consid. 4).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125 V 351 consid. 3 ; 122 V 157 consid. 1c).</w:t>
      </w:r>
    </w:p>
    <w:p>
      <w:r>
        <w:t>A/1753/2018 - 13/18 - Sans remettre en cause le principe de la libre appréciation des preuves, le Tribunal fédéral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Toutefois,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Par ailleurs, un rapport du SMR au sens de l'art. 59 al. 2 bis LAI (en corrélation avec l'art. 49 al. 1 RAI)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w:t>
      </w:r>
    </w:p>
    <w:p>
      <w:r>
        <w:t>A/1753/2018 - 14/18 -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(ci-après : ESS ;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w:t>
      </w:r>
    </w:p>
    <w:p>
      <w:r>
        <w:t>A/1753/2018 - 15/18 -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11. En l’espèce, dans la décision attaquée, datée du 23 avril 2018, l’intimé a refusé d’accorder à l’assuré une rente d’invalidité. Il a rappelé avoir financé une formation de responsable d’immeuble, sanctionnée par un diplôme. Selon le SMR, la capacité de travail a été nulle du 13 octobre 2016 au 1er mai 2017, puis entière, dès le 2 mai 2017, en tant que responsable d’immeuble. À l’issue des mesures de réadaptation accordées, la perte de gain n’était plus que de 29%. De son côté, le recourant estime que l’OAI a insuffisamment instruit son dossier, en statuant sur la seule base d’un avis du SMR non motivé et fixant arbitrairement au 2 mai 2017 la date de sa rémission complète. Par ailleurs, il considère que son revenu d’invalide a été surévalué ; il estime ne pouvoir exercer aucune profession relevant des lignes 79, 80 et 82 de l’ESS. 12. Il convient d’examiner quelles sont les répercussions des atteintes à la santé du recourant sur sa capacité de travail, en particulier depuis le 1er mai 2017, date à partir de laquelle la décision attaquée le juge pleinement capable d’exercer une activité adaptée à ses limitations. a. Dans son « avis médical » du 11 décembre 2017, la Dresse M______, du SMR, a déduit d’une attestation rédigée par le Dr B______ le 2 mai 2017 que l’assuré avait recouvré, dès le 1er mai 2017, une capacité de travail entière dans toute activité adaptée à ses limitations fonctionnelles. Dans son attestation du 2 mai 2017, le Dr B______ a déclaré : « [l’] arrêt de travail du 6 avril jusqu’au 1er mai 2017 est secondaire à un état anxieux associé à une insomnie, entraînant une asthénie sévère. [L’assuré] présente également des douleurs au niveau des épaules des deux côtés, extrêmement invalidant[es], raison pour laquelle un traitement d’anti-inflammatoires a été introduit. Vu la mauvaise évolution, je vais l’adresser à un spécialiste en orthopédie ». b. L’avis exprimé par le SMR le 11 décembre 2017 constitue un rapport au sens de l'art. 59 al. 2bis LAI. Comme cela ressort des considérants qui précèdent, un tel document a pour fonction d'opérer la synthèse des renseignements médicaux versés au dossier et de prodiguer des recommandations quant à la suite à donner au dossier sur le plan médical. En tant qu'il ne contient aucune observation clinique, il se distingue d'une expertise médicale ou d'un examen médical auquel il arrive au SMR de procéder. Il doit être soumis à de strictes exigences en matière de preuve et une</w:t>
      </w:r>
    </w:p>
    <w:p>
      <w:r>
        <w:t>A/1753/2018 - 16/18 - expertise devra être ordonnée si des doutes, même faibles, subsistent quant à la fiabilité ou à la pertinence des constatations effectuées par le SMR (cf. supra consid. 8 et les références citées). c. En l’occurrence, dans la mesure où il a déduit de l’attestation rédigée en mai 2017 par le Dr B______ que l’assuré avait recouvré une pleine capacité de travail, le SMR a posé, dans son rapport de synthèse, une conclusion qui n’est pas étayée sous l’angle médical, dès lors qu’elle ne correspond pas, en réalité, au point de vue exprimé par ce médecin. En effet, dans son certificat, le Dr B______ n’a pas expressément attesté une pleine capacité de travail, notamment depuis le 2 mai 2017, mais il a, au contraire, décrit une persistance de divers symptômes. Invité par la CJCAS à préciser le sens de son attestation, le Dr B______ ne s’est pas rallié à l’interprétation que le SMR en avait faite, dans le sens d’une amélioration de la capacité de travail : ce médecin a expliqué que l’assuré n’avait plus eu besoin d’un arrêt de travail en raison de la fin du stage effectué à l’issue de son reclassement, raison pour laquelle il n’avait pas prolongé l’arrêt de travail, mais qu’il persistait alors clairement des douleurs au niveau cervical, irradiant dans les épaules. Son patient avait ensuite consulté le Dr O______, puis été adressé à un neurologue, à un neurochirurgien et à un médecin spécialisé dans la réadaptation physique, après avoir subi des infiltrations de cortisone au niveau cervical. Ces praticiens avaient tous confirmé l’existence de symptômes douloureux et invalidants, lesquels avaient finalement conduit à une intervention chirurgicale en 2019. d. Sur la base des explications et des pièces fournies par le Dr B______, le SMR admet désormais qu’une aggravation de l’état de santé a été rendue vraisemblable, en lien avec un syndrome cervical et lombaire. L’assuré étant en outre suivi par un psychiatre depuis 2019, ce service préconise la mise en œuvre d’une expertise en rhumatologie, neurochirurgie et psychiatrie, afin de clarifier la question de la capacité résiduelle de travail, en particulier dans une activité adaptée, et son évolution dans le temps. Se ralliant au point de vue du SMR, l’intimé conclut, dans ses dernières écritures, à ce que le dossier lui soit renvoyé pour instruction complémentaire et nouvelle décision. e. Au regard de ce qui précède, force est d’admettre que le rapport de synthèse du 11 décembre 2017, sur lequel se fonde la décision de refus de rente, n’a pas de valeur probante. À défaut de rapport circonstancié permettant de se prononcer sur la capacité de travail de l’assuré, son évolution dans le temps et, le cas échéant, sur la date à partir de laquelle l’exercice d’une activité professionnelle (adaptée) pouvait être envisagé, l’intimé ne pouvait faire l’économie d’une mesure d’instruction complémentaire. Conformément à ce que propose l’office, la cause lui sera donc renvoyée afin qu’il mette en œuvre une expertise pluridisciplinaire en rhumatologie, neurochirurgie et psychiatrie, puis rende une nouvelle décision. f. En dernier lieu, on relèvera que, dans sa décision du 23 avril 2018, l’intimé a omis de statuer sur le droit éventuel à une rente d’invalidité pour la période</w:t>
      </w:r>
    </w:p>
    <w:p>
      <w:r>
        <w:t>A/1753/2018 - 17/18 - antérieure au reclassement professionnel de l’assuré, pendant lequel l’intéressé a perçu des indemnités journalières (du 2 décembre 2015 au 27 avril 2017). Dans sa décision à venir, il appartiendra donc à l’intimé de se prononcer sur le droit éventuel à une rente depuis le dépôt de la seconde demande de prestations, en 2010. g. Partant, le recours est partiellement admis et la décision du 23 avril 2018, annulée. La cause est renvoyée à l’OAI pour qu’il complète l’instruction dans le sens qui précède, puis rende une nouvelle décision. 13. Le recourant obtenant partiellement gain de cause, une indemnité de CHF 2’800.- lui est accordée à titre de participation à ses frais et dépens, à charge de l’intimé (art. 61 let. g LPGA ; art. 89H al. 3 LPA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w:t>
      </w:r>
    </w:p>
    <w:p>
      <w:r>
        <w:t>******</w:t>
      </w:r>
    </w:p>
    <w:p>
      <w:r>
        <w:t>A/1753/2018 - 18/18 -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