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ATAS/463/2016 vom 14. Juni 2016</w:t>
      </w:r>
    </w:p>
    <w:p>
      <w:r>
        <w:t>GE Cour de justice, 2016-06-14, FR</w:t>
      </w:r>
    </w:p>
    <w:p>
      <w:r>
        <w:rPr>
          <w:b/>
        </w:rPr>
        <w:t xml:space="preserve">Quelle: </w:t>
      </w:r>
      <w:r>
        <w:t>https://mcp.opencaselaw.ch/entscheid/ge_gerichte_ATAS_463_2016</w:t>
      </w:r>
    </w:p>
    <w:p>
      <w:r>
        <w:t>FR: GE_GERICHTE ATAS/463/2016 du 14 juin 2016</w:t>
      </w:r>
    </w:p>
    <w:p>
      <w:r>
        <w:t>IT: GE_GERICHTE ATAS/463/2016 del 14 giugno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en vigueur depuis le 1er janvier 2003, s’applique aux prestations complémentaires fédérales à moins que la LPC n’y déroge expressément (art. 1er al. 1er LPC).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t>A/3902/2015 - 5/9 -</w:t>
      </w:r>
    </w:p>
    <w:p>
      <w:r>
        <w:rPr>
          <w:b/>
        </w:rPr>
        <w:t>E. 4</w:t>
      </w:r>
    </w:p>
    <w:p>
      <w:r>
        <w:t>Le litige porte sur le droit de l’assuré et de son épouse au subside de l’assurance- maladie et à celui du SPC de leur réclamer la restitution de la somme de CHF 3'000.-, représentant des prestations versées à tort.</w:t>
      </w:r>
    </w:p>
    <w:p>
      <w:r>
        <w:rPr>
          <w:b/>
        </w:rPr>
        <w:t>E. 5</w:t>
      </w:r>
    </w:p>
    <w:p>
      <w:r>
        <w:t>Conformément à l’art. 4 al. 1 let. a LPC, les personnes qui ont leur domicile et leur résidence habituelle en Suisse ont droit à des prestations complémentaires dès lors qu’elle perçoivent une rente de vieillesse de l’assurance-vieillesse et survivants. Selon l'art. 9 al. 1 LPC, le montant de la prestation complémentaire annuelle correspond à la part des dépenses reconnues qui excède les revenus déterminants.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 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 AVS/AI). Est déterminant pour le calcul de la prestation complémentaire annuelle le montant réduit de la fortune au 1er janvier de l’année pour laquelle la prestation est servie (al. 3).</w:t>
      </w:r>
    </w:p>
    <w:p>
      <w:r>
        <w:t>A/3902/2015 - 6/9 - L’art. 10 al. 1 LPC définit les dépenses reconnues pour les personnes vivant à domicile, soit les montants destinées à la couverture des besoins vitaux (let. a) et le loyer d’un appartement et les frais accessoires y relatifs (let. b). Enfin, l’art. 10 al. 3 LPC comprend la liste des autres dépenses reconnues, soit a. les frais d'obtention du revenu, jusqu'à concurrence du revenu brut de l'activité lucrative; b. les frais d'entretien des bâtiments et les intérêts hypothécaires, jusqu'à concurrence du rendement brut de l'immeuble; c. les cotisations aux assurances sociales de la Confédération, à l'exclusion des primes d'assurance-maladie; d. le montant forfaitaire annuel pour l'assurance obligatoire des soins; il doit correspondre au montant de la prime moyenne cantonale ou régionale pour l'assurance obligatoire des soins (couverture accidents comprise); e. les pensions alimentaires versées en vertu du droit de la famille.</w:t>
      </w:r>
    </w:p>
    <w:p>
      <w:r>
        <w:rPr>
          <w:b/>
        </w:rPr>
        <w:t>E. 6</w:t>
      </w:r>
    </w:p>
    <w:p>
      <w:r>
        <w:t>a) En l’espèce, le SPC a recalculé le droit de l’assuré aux prestations complémentaires au 1er avril 2015, soit au moment où l’épouse de l’assuré, née le 4 mars 1951, a atteint l’âge de 64 ans donnant droit à une rente AVS. b) Aux termes de l’art. 11 al. 1 let. d LPC, les revenus déterminants comprennent « les rentes, pensions et autres prestations périodiques, y compris les rentes de l'AVS et de l'AI ». Aussi la rente AVS allouée aux deux époux à compter du 1er avril 2015, soit CHF 25'956.-, est-elle dorénavant prise en considération dans le calcul des prestations complémentaires, en lieu et place de la seule rente AVS de l’assuré, soit CHF 10'248.-. c) Le SPC a retenu, à titre de biens dessaisis, le montant de CHF 369'055.-, compte tenu des CHF 10'000.- à déduire chaque année, et à titre de produit hypothétique des biens dessaisis, celui de CHF 664.30. Il y a lieu de rappeler à cet égard que, par décision du 8 octobre 2008 et décision sur opposition du 3 février 2009, des biens dessaisis d’un montant de CHF 439'055.- avaient été pris en considération par le SPC au 1er janvier 2008. Ces décisions ont été confirmées par le TCAS le 1er décembre 2009 (ATAS/1583/2009) et par le Tribunal fédéral le 6 août 2010 (arrêt 9C_12/2010), de sorte que la question des biens dessaisis a déjà été tranchée. Or, il y a autorité de chose jugée, du point de vue matériel, lorsque le litige a le même objet que celui sur lequel s’est déjà prononcée l’autorité judiciaire par un jugement passé en force.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w:t>
      </w:r>
    </w:p>
    <w:p>
      <w:r>
        <w:t>A/3902/2015 - 7/9 - le même contrôle soit mis en œuvre indéfiniment (MOOR, Droit administratif, volume II, Berne 2011, p. 378-379). L’assuré ne saurait ainsi reprocher au SPC de n’avoir pas traité la prise en compte de biens dessaisis. Il allègue également qu’ils ne disposent, lui et son épouse, que de leur rente AVS d’un total de CHF 2'163.- par mois, soit un montant bien en-deçà des dépenses mensuelles reconnues pour un couple, et fait valoir que sa fortune est totalement épuisée. La chambre de céans rappellera à cet égard que les biens dessaisis sont précisément des biens dont l’intéressé ne dispose plus (art. 3 c al. 1 let. g LPC). d) Il résulte de ce qui précède que le calcul auquel a procédé le SPC pour établir le montant du revenu déterminant n’est pas critiquable.</w:t>
      </w:r>
    </w:p>
    <w:p>
      <w:r>
        <w:rPr>
          <w:b/>
        </w:rPr>
        <w:t>E. 7</w:t>
      </w:r>
    </w:p>
    <w:p>
      <w:r>
        <w:t>C’est en conséquence, à juste titre, que le SPC a supprimé le droit des époux au subside d’assurance-maladie à compter d’avril 2015.</w:t>
      </w:r>
    </w:p>
    <w:p>
      <w:r>
        <w:rPr>
          <w:b/>
        </w:rPr>
        <w:t>E. 8</w:t>
      </w:r>
    </w:p>
    <w:p>
      <w:r>
        <w:t>Les subsides versés en avril, mai et juin 2015 l’ont, partant, été à tort.</w:t>
      </w:r>
    </w:p>
    <w:p>
      <w:r>
        <w:rPr>
          <w:b/>
        </w:rPr>
        <w:t>E. 9</w:t>
      </w:r>
    </w:p>
    <w:p>
      <w:r>
        <w:t>Aux termes de l’art. 25 al. 1 et 2 LPGA, « 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Le droit de demander la restitution s'éteint un an après le moment où l'institution d’assurance a eu connaissance du fait, mais au plus tard cinq ans après le versement de la prestation.</w:t>
      </w:r>
    </w:p>
    <w:p>
      <w:r>
        <w:rPr>
          <w:b/>
        </w:rPr>
        <w:t>E. 10</w:t>
      </w:r>
    </w:p>
    <w:p>
      <w:r>
        <w:t>En vertu de l'art. 25 al. 2 1ère phrase LPGA,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w:t>
      </w:r>
    </w:p>
    <w:p>
      <w:r>
        <w:t>A/3902/2015 - 8/9 - trouve sauvegardé une fois pour toutes (arrêt du Tribunal fédéral des assurances C 271/04 du 21 mars 2006 consid. 2.5). Le SPC a, en l’espèce, reçu tous les renseignements dont il avait besoin pour recalculer le droit de l’assuré aux prestations complémentaires le 30 mars 2015, de sorte qu’en notifiant à celui-ci sa décision de restitution le 29 juin 2015, il a agi en temps utile. De même a-t-il respecté le délai de cinq ans après le versement du subside d’assurance-maladie.</w:t>
      </w:r>
    </w:p>
    <w:p>
      <w:r>
        <w:rPr>
          <w:b/>
        </w:rPr>
        <w:t>E. 11</w:t>
      </w:r>
    </w:p>
    <w:p>
      <w:r>
        <w:t>Le SPC est ainsi fondé à réclamer aux époux le remboursement de la somme de CHF 3'000.-, représentant les subsides d’assurance de CHF 500.- par mois versés à tort d’avril à juin 2015. Aussi le recours est-il rejeté.</w:t>
      </w:r>
    </w:p>
    <w:p>
      <w:r>
        <w:rPr>
          <w:b/>
        </w:rPr>
        <w:t>E. 12</w:t>
      </w:r>
    </w:p>
    <w:p>
      <w:r>
        <w:t>Reste à préciser que l'assuré a le droit de demander la remise de l'obligation de restituer, lorsque la restitution des prestations allouées indûment, mais reçues de bonne foi, le mettrait dans une situation difficile (art. 25 al. 1 2ème phrase LPGA et 4 al. 1 OPGA). La demande de remise doit être déposée auprès du SPC par écrit, motivée, accompagnée des pièces nécessaires et déposée au plus tard 30 jours à compter de l’entrée en force de la décision de restitution, et elle fait l’objet d’une décision (art. 4 al. 4 et 5 OPGA).</w:t>
      </w:r>
    </w:p>
    <w:p>
      <w:r>
        <w:t>A/3902/2015 - 9/9 -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