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ATAS/463/2010 vom 29. April 2010</w:t>
      </w:r>
    </w:p>
    <w:p>
      <w:r>
        <w:t>GE Cour de justice, 2010-04-29, FR</w:t>
      </w:r>
    </w:p>
    <w:p>
      <w:r>
        <w:rPr>
          <w:b/>
        </w:rPr>
        <w:t xml:space="preserve">Quelle: </w:t>
      </w:r>
      <w:r>
        <w:t>https://mcp.opencaselaw.ch/entscheid/ge_gerichte_ATAS_463_2010</w:t>
      </w:r>
    </w:p>
    <w:p>
      <w:r>
        <w:t>FR: GE_GERICHTE ATAS/463/2010 du 29 avril 2010</w:t>
      </w:r>
    </w:p>
    <w:p>
      <w:r>
        <w:t>IT: GE_GERICHTE ATAS/463/2010 del 29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du 26 octobre 2009, le recours contre la décision de l’OAI du 24 septembre 2009 intervient en temps utile (art. 38 al. 3 et 60 al. 1 LPGA). Les autres conditions prévues par les art. 56 et ss LPGA étant réalisées, le recours est recevable.</w:t>
      </w:r>
    </w:p>
    <w:p>
      <w:r>
        <w:rPr>
          <w:b/>
        </w:rPr>
        <w:t>E. 4</w:t>
      </w:r>
    </w:p>
    <w:p>
      <w:r>
        <w:t>L’objet du litige porte sur le calcul du taux d’invalidité, et plus spécifiquement sur la prise en compte d’une diminution de rendement et d’un abattement supplémentaire. Sous la réserve formulée dans les observations du 3 février 2010 relative à l’aggravation de l’état de santé du recourant, le rapport d’expertise du BREM et ses conclusions ne sont pas contestés par les parties. En effet, elles s’y réfèrent toutes deux largement afin d’étayer leur point de vue et ne formulent aucune critique à son endroit. L’état de fait médical retenu dans le cadre de cette expertise, sous réserve de l’éventuelle aggravation ultérieure, sera ainsi considéré comme établi, ce d’autant que le rapport d’expertise du BREM est détaillé, convaincant et exempt de contradiction. Pour le surplus, il rempli tous les critères jurisprudentiels permettant de lui reconnaître une pleine valeur probante.</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w:t>
      </w:r>
    </w:p>
    <w:p>
      <w:r>
        <w:t>A/3831/2009 - 9/13 -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w:t>
      </w:r>
    </w:p>
    <w:p>
      <w:r>
        <w:t>A/3831/2009 - 10/13 - On rappellera en outre qu’il est tenu compte des empêchements propres à la personne de l’invalide dans le cadre d’une évaluation globale, pouvant aboutir à un abattement maximum de 25%, destinée à déterminer un revenu qui représente au mieux la mise en valeur économique exigible des activités compatibles avec la capacité de travail résiduelle de l’assuré (ATF 126 V 75 consid. 5). Selon l'art. 28 al. 1 LAI,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S’agissant spécifiquement de l’abattement sur le salaire statistique, il a été jugé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rPr>
          <w:b/>
        </w:rPr>
        <w:t>E. 7</w:t>
      </w:r>
    </w:p>
    <w:p>
      <w:r>
        <w:t>En l’espèce, l’OAI n’a retenu aucun abattement. Il relève que les limitations fonctionnelles présentées par le recourant ont déjà été prises en compte dans le cadre de l’évaluation de la capacité de travail et qu’elles ne présentent par de spécificité tells qu’il y aurait lieu d’en tenir compte au titre de la déduction sur le salaire statistique. Pour le surplus, l’âge et la capacité d’adaptation du recourant faisaient obstacle à une telle déduction. Le recourant considère quant à lui qu’une réduction de 15 à 20 % aurait dû être prise en compte vu ses nombreuses limitations fonctionnelles. Il faut constater avec l’OAI que l’âge du recourant (44 ans), compte tenu de l’adaptabilité à un environnement professionnel qui lui est reconnu par les experts du BREM, ne permet pas de prendre en compte une déduction.</w:t>
      </w:r>
    </w:p>
    <w:p>
      <w:r>
        <w:t>A/3831/2009 - 11/13 - En revanche, le Tribunal ne saurait partager l’avis de l’OAI s’agissant du fait que la prise en compte des limitations fonctionnelles pour déterminer la capacité de travail exclu leur prise en compte dans le cadre de l’appréciation d’un abattement sur le salaire statistique. Précisément, un tel raisonnement méconnaît le but de la déduction considérée. Cette déduction vise à déterminer un revenu qui représente au mieux la mise en valeur économique exigible des activités compatibles avec la capacité de travail résiduelle de l’assuré, en cas de prise en compte de revenus établis sur la base de statistiques. Il s’agit donc d’apprécier autre chose que la seule capacité de travail. Il a d’ailleurs déjà été jugé par le Tribunal de céans que : « Il est indéniable que le recourant présente un handicap important, dans la mesure où il doit se déplacer à l’aide d’une béquille. Par ailleurs, il est démontré que les occupations à temps- partiel sont moins bien rémunérées que les plein-temps. Par conséquent, il se justifie en l’occurrence d’admettre une diminution de 10 % du salaire dans les activités que le recourant pourrait encore exercer avec son handicap. » (ATAS/253/2004 du 15 avril 2004). Compte tenu de ce qui précède, le Tribunal est fondé à s’écarter de la déduction retenue par l’OAI. Au vu de l’ensemble des circonstances, une diminution de rendement de 10% pour tenir compte des limitations fonctionnelles retenues par les experts du BREM et de la nécessité d’un emploi à temps partiel, est appropriée.</w:t>
      </w:r>
    </w:p>
    <w:p>
      <w:r>
        <w:rPr>
          <w:b/>
        </w:rPr>
        <w:t>E. 8</w:t>
      </w:r>
    </w:p>
    <w:p>
      <w:r>
        <w:t>S’agissant de la prise en compte d’une diminution de rendement de 10 %, le Tribunal considère que l’état de fait médical n’a pas été établi de manière suffisante pour permettre de trancher la question. En effet, les experts du BREM ont admis sur le plan physique une baisse de rendement de 10 % « selon la nécessité d’antalgiques de type Tramal, ce que prend encore le patient » (p. 41 de l’expertise, réponse à la question 3.3). Or, l’on ignore si des antalgiques sont encore nécessaires, la situation pouvant avoir changé suite au port de chaussures orthopédiques intervenu après l’expertise. Le Dr B__________ a indiqué le 19 janvier 2010 que les souffrances du recourant restaient inchangées, et qu’il était apparu un syndrome vertébral lombaire et un état dépressif. La symptomatologie restait également inchangée malgré le port d'orthèses plantaires et la décharge partielle à l'aide de cannes anglaises. Il semble ainsi compte tenu du fait que les souffrances n’ont pas diminué que les antalgiques pourraient être toujours prescrits.</w:t>
      </w:r>
    </w:p>
    <w:p>
      <w:r>
        <w:t>A/3831/2009 - 12/13 - Ce fait n’est toutefois pas établi. Le pronostic quant à la poursuite d’un éventuel traitement d’antalgiques n’est pas non plus établi.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In casu, il convient quoiqu’il en soit de renvoyer le dossier à l’OAI pour un autre motif, de sorte que ces questions pourront être examinées dans ce cadre.</w:t>
      </w:r>
    </w:p>
    <w:p>
      <w:r>
        <w:rPr>
          <w:b/>
        </w:rPr>
        <w:t>E. 9</w:t>
      </w:r>
    </w:p>
    <w:p>
      <w:r>
        <w:t>En effet, les médecins traitants ont fait état d’aggravations de l’état de santé du recourant, pour l’un encore avant que la décision litigieuse ne soit rendue. La Dresse F __________ a fait état d’une aggravation de l’état dépressif, tandis que le Dr B__________ a mentionné l’apparition d’un syndrome vertébral lombaire. Or, ces questions n’ont encore fait l’objet d’aucune investigation utile, de sorte qu’il s’impose, ne serait-ce que pour éviter de priver le recourant d’un niveau de procédure, de retourner le dossier à l’OAI afin qu’il complète l’instruction médicale à ce sujet également.</w:t>
      </w:r>
    </w:p>
    <w:p>
      <w:r>
        <w:rPr>
          <w:b/>
        </w:rPr>
        <w:t>E. 10</w:t>
      </w:r>
    </w:p>
    <w:p>
      <w:r>
        <w:t>Le recours sera ainsi admis, la décision entreprise annulée et le dossier renvoyé à l’OAI pour instruction médicale complémentaire au sens des considérants, nouveau calcul du taux d’invalidité au sens des considérants et nouvelle décision.</w:t>
      </w:r>
    </w:p>
    <w:p>
      <w:r>
        <w:rPr>
          <w:b/>
        </w:rPr>
        <w:t>E. 11</w:t>
      </w:r>
    </w:p>
    <w:p>
      <w:r>
        <w:t>Le recourant obtenant gain de cause, une indemnité de 2'000 fr. lui est octroyée, à titre de dépens.</w:t>
      </w:r>
    </w:p>
    <w:p>
      <w:r>
        <w:rPr>
          <w:b/>
        </w:rPr>
        <w:t>E. 12</w:t>
      </w:r>
    </w:p>
    <w:p>
      <w:r>
        <w:t>Un émolument de 500 fr. est mis à charge de l’OAI qui succombe (art. 69 al. 1bis LAI)</w:t>
      </w:r>
    </w:p>
    <w:p>
      <w:r>
        <w:t>A/3831/2009 - 13/13 -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