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ATAS/462/2019 vom 27. Mai 2019</w:t>
      </w:r>
    </w:p>
    <w:p>
      <w:r>
        <w:t>GE Cour de justice, 2019-05-27, FR</w:t>
      </w:r>
    </w:p>
    <w:p>
      <w:r>
        <w:rPr>
          <w:b/>
        </w:rPr>
        <w:t xml:space="preserve">Quelle: </w:t>
      </w:r>
      <w:r>
        <w:t>https://mcp.opencaselaw.ch/entscheid/ge_gerichte_ATAS_462_2019</w:t>
      </w:r>
    </w:p>
    <w:p>
      <w:r>
        <w:t>FR: GE_GERICHTE ATAS/462/2019 du 27 mai 2019</w:t>
      </w:r>
    </w:p>
    <w:p>
      <w:r>
        <w:t>IT: GE_GERICHTE ATAS/462/2019 del 27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A/826/2018 - 15/26 -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concerne le droit du recourant à des prestations de l’assurance-invalidité. a. Au préalable, le recourant se plaint d’une violation de son droit d’être entendu, motif pris que la décision attaquée comporterait un sous-titre trompeur (« Notre projet de décision est le suivant : ») et ne répondrait pas aux exigences minimales de motivation, notamment parce qu’elle ne se réfère ni au rapport du 23 mars 2017 de l’expert psychiatre – ni d’ailleurs au complément d’expertise du 26 septembre 2017 – ni aux certificats médicaux ou encore aux « témoignages » fournis par le recourant. De plus, aucune audition n’aurait eu lieu entre le projet de décision du</w:t>
      </w:r>
    </w:p>
    <w:p>
      <w:r>
        <w:rPr>
          <w:b/>
        </w:rPr>
        <w:t>E. 8</w:t>
      </w:r>
    </w:p>
    <w:p>
      <w:r>
        <w:t>a. Pour pouvoir calculer le degré d'invalidité, l'administration (ou le juge, s'il y a eu un recours) a besoin de documents que le médecin, éventuellement aussi d'autres spécialistes, doivent lui fournir (ATF 125 V 261 consid.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A/826/2018 - 20/26 - 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w:t>
      </w:r>
    </w:p>
    <w:p>
      <w:r>
        <w:rPr>
          <w:b/>
        </w:rPr>
        <w:t>E. 9</w:t>
      </w:r>
    </w:p>
    <w:p>
      <w:r>
        <w:t>Lorsqu'il s'agit d'évaluer l'invalidité d'un assuré qui se trouve proche de l'âge donnant droit à la rente de vieillesse, il faut procéder à une analyse globale de la</w:t>
      </w:r>
    </w:p>
    <w:p>
      <w:r>
        <w:t>A/826/2018 - 21/26 -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t>A/826/2018 - 22/26 -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w:t>
      </w:r>
    </w:p>
    <w:p>
      <w:r>
        <w:rPr>
          <w:b/>
        </w:rPr>
        <w:t>E. 11</w:t>
      </w:r>
    </w:p>
    <w:p>
      <w:r>
        <w:t>a. Suite à la demande de prestations formée en mars 2016 par le recourant, l’intimé a retenu, à l’appui de la décision litigieuse – qui était fondée sur les avis du SMR des 8 mai 2017 et 6 janvier 2018, eux-mêmes fondés sur le rapport d’expertise du 23 mars 2017, respectivement son complément du 26 septembre 2017 – que la nature de l’atteinte à la santé du recourant n’était pas invalidante et qu’ainsi, il ne pouvait pas prétendre à une rente d’invalidité. Étant donné qu’il était également (réputé) apte à exercer les activités correspondant à son niveau de formation, des mesures professionnelles n’étaient pas indiquées, celles-ci n'étant pas de nature à améliorer sa capacité de gain. b. Fondée sur l'ensemble du dossier mais aussi des renseignements obtenus auprès de tierces personnes (médecins et épouse), retraçant une anamnèse fouillée et tenant compte des plaintes du recourant, cette expertise comporte un status objectif détaillé et nuancé avec des indications précises sur l’origine, l’évolution, le contexte et l’impact de la consommation de diverses substances. Elle souligne que les multi-addictions à ces dernières – qui demeurent latentes bien qu’inactives pour la plupart au moment de l’expertise – représentent une pathologie primaire sans comorbidité actuelle du registre affectif ni trouble de la personnalité. À cet égard, le complément d’expertise précise qu’un diagnostic de trouble de la personnalité n’a jamais été posé par le passé, ni pendant les suivis ambulatoires en addictologie entre 1997 et 1999, ni lors des hospitalisations à la clinique Belmont en 2016 et 2017 et qu’il est dès lors peu probable qu’un trouble de la personnalité se manifeste proche de l’âge de la retraite. L’expert explique également de manière claire que même si les abus sexuels subis ne doivent pas être minimisés, ceux-ci ne suffisent pas pour poser un diagnostic de trouble de la personnalité chez le recourant, pas plus que l’analyse de sa trajectoire de vie, cette dernière ne montrant aucun signe évocateur d’un trouble de la personnalité préexistant qui aurait conditionné l’utilisation de l’alcool et d’autres drogues dès l’adolescence. Enfin, l’expert expose de manière convaincante que même si le tableau clinique avait été marqué par des affects dépressifs réactionnels à certains événements (sans atteindre l’ampleur d’une dépression majeure), l’analyse de la trajectoire de vie du recourant ne démontrait aucunement un lien de causalité entre décompensation dépressive et survenance de la dépendance aux toxiques. En effet, même si cette dernière s’était</w:t>
      </w:r>
    </w:p>
    <w:p>
      <w:r>
        <w:t>A/826/2018 - 23/26 - péjorée avec le décès tragique du père quand le recourant avait 31 ans, elle n’en était pas moins déjà présente sous une forme atténuée avant le décès des parents de l’intéressé, de sorte que l’on était bien en présence d’une dépendance primaire. c. Le recourant soutient, par la voix de son épouse, que l’expertise du 23 mars 2017 et son complément du 26 septembre 2017 seraient dépourvus de valeur probante car ils comprendraient trop « d’erreurs factuelles » et de « lacunes » sur son parcours professionnel, ses relations sociales et les abus qu’il a subis. Il pointe également l’absence d’investigation complémentaire non seulement sur ces épisodes d’abus « qui pourraient avoir induit des troubles psychiatriques », mais aussi au sujet du trouble de l’attention suspecté par le Dr J______. Ces critiques ne sauraient être suivies. En effet, comme il est mentionné dans le mémoire de recours (cf. p. 16, dernier §), l’anamnèse se fonde « vraisemblablement sur les déclarations du recourant ». Or, on ne voit pas en quoi cette méthodologie – au demeurant habituelle et conforme aux réquisits jurisprudentiels (cf. ci-dessus : consid. 8) – serait critiquable, ce d’autant que les experts se sont également fondés sur l’examen du dossier – qui comporte des indications sur le parcours universitaire et professionnel de l’intéressé – ainsi que les renseignements obtenus par téléphone auprès de tierces personnes, dont l’épouse du recourant. Quoi qu’il en soit, le fait que cette dernière soit d’avis que l’activité professionnelle à temps partiel de son mari – qui ressort déjà des pièces du dossier qu’elle ne conteste pas – ait été plutôt ponctuelle que continue ne permet, même si cette appréciation était par hypothèse fondée, ni de conclure à une anamnèse qui serait entachée d’une inexactitude qualifiée (« qualifiziert fehlerhafte Anamnese ») ni, par voie de conséquence, à un manque de diligence de la part des experts (cf. arrêt du Tribunal fédéral I 114/06 du</w:t>
      </w:r>
    </w:p>
    <w:p>
      <w:r>
        <w:rPr>
          <w:b/>
        </w:rPr>
        <w:t>E. 13</w:t>
      </w:r>
    </w:p>
    <w:p>
      <w:r>
        <w:t>Reste à déterminer si l’âge du recourant (62 ans au moment de la décision attaquée), empêche de considérer qu’il puisse encore, de manière réaliste, exploiter économiquement sa capacité de travail sur un marché équilibré du travail (cf. ci- dessus : consid. 9). Il convient d’y répondre par la négative dans la mesure où l’âge avancé – facteur en soi étranger à l’invalidité (ATF 138 V 457 consid. 3.1) – ne s’ajoute pas, dans le cas d’espèce, à d’autres circonstances personnelles ou professionnelles pertinentes, telles le point de savoir à partir de quand il serait médicalement exigible que le recourant mette à profit sa capacité résiduelle de travail dans une activité adaptée (cf. ATF 138 V 457 consid. 3.2). La capacité de travail étant réputée entière dans les activités exercées par le passé, ce depuis toujours (cf. ci-dessus : consid. 12), l’âge du recourant ne saurait être synonyme d’invalidité à lui seul. On ajoutera que ni le déconditionnement issu d'un mode de vie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w:t>
      </w:r>
    </w:p>
    <w:p>
      <w:r>
        <w:rPr>
          <w:b/>
        </w:rPr>
        <w:t>E. 14</w:t>
      </w:r>
    </w:p>
    <w:p>
      <w:r>
        <w:t>Compte tenu de ce qui précède, le recours, mal fondé, sera rejeté. Étant donné que depuis le 1er juillet 2006, la procédure n'est plus gratuite (art. 69 al. 1bis LAI), il y a lieu de condamner le recourant au paiement d'un émolument de CHF 200.-. *****</w:t>
      </w:r>
    </w:p>
    <w:p>
      <w:r>
        <w:t>A/826/2018 - 26/26 -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