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ATAS/462/2012 vom 4. April 2012</w:t>
      </w:r>
    </w:p>
    <w:p>
      <w:r>
        <w:t>GE Cour de justice, 2012-04-04, FR</w:t>
      </w:r>
    </w:p>
    <w:p>
      <w:r>
        <w:rPr>
          <w:b/>
        </w:rPr>
        <w:t xml:space="preserve">Quelle: </w:t>
      </w:r>
      <w:r>
        <w:t>https://mcp.opencaselaw.ch/entscheid/ge_gerichte_ATAS_462_2012</w:t>
      </w:r>
    </w:p>
    <w:p>
      <w:r>
        <w:t>FR: GE_GERICHTE ATAS/462/2012 du 4 avril 2012</w:t>
      </w:r>
    </w:p>
    <w:p>
      <w:r>
        <w:t>IT: GE_GERICHTE ATAS/462/2012 del 4 aprile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recours, interjeté dans les forme et délai prévus par la loi, est recevable (art. 56 à 60 LPGA).</w:t>
      </w:r>
    </w:p>
    <w:p>
      <w:r>
        <w:rPr>
          <w:b/>
        </w:rPr>
        <w:t>E. 3</w:t>
      </w:r>
    </w:p>
    <w:p>
      <w:r>
        <w:t>Le litige porte sur le droit de la recourante à des prestations de l'assurance- invalidité, plus particulièrement sur son degré d’invalidité.</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 ci n’est pas objectivement surmontable (art. 7 al. 2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A/3269/2011 - 14/22 -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w:t>
      </w:r>
    </w:p>
    <w:p>
      <w:r>
        <w:t>A/3269/2011 - 15/22 - différemment que si ces médecins font état d'éléments objectivement vérifiables ayant été ignorés dans le cadre de l'expertise et qui sont suffisamment pertinents pour remettre en cause les conclusions de l'expert (ATF non publié 9C_405/2008 du 29 septembre 2008, consid. 3.2).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w:t>
      </w:r>
    </w:p>
    <w:p>
      <w:r>
        <w:rPr>
          <w:b/>
        </w:rPr>
        <w:t>E. 6</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ATFA non publié I 881/06 du</w:t>
      </w:r>
    </w:p>
    <w:p>
      <w:r>
        <w:rPr>
          <w:b/>
        </w:rPr>
        <w:t>E. 9</w:t>
      </w:r>
    </w:p>
    <w:p>
      <w:r>
        <w:t>S’agissant du calcul de la rente, la Cour de céans rappelle ce qui suit. a) Les dispositions de la loi sur l'assurance-vieillesse et survivants (LAVS; RS 831.10) sont applicables par analogie au calcul des rentes ordinaires, comme cela découle de l'art. 36 al. 2 LAI. Selon l’article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Le Conseil fédéral règle la prise en compte des mois de cotisations accomplis dans l’année de l’ouverture du droit à la rente, des périodes de cotisation précédant le 1er janvier qui suit la date des 20 ans révolus et des années complémentaires (art. 29bis al. 2 LAVS). b) La durée de cotisations est réputée complète lorsqu’une personne présente le même nombre d’années de cotisations que les assurés de sa classe d’âge (art. 29ter al. 1 LAVS). Il y a année entière de cotisations lorsqu'une personne a été assurée pendant plus de onze mois au total et que pendant ce temps-là, elle a versé la cotisation minimale ou qu'elle présente des périodes de cotisations au sens de l'art. 29ter al. 2, let. b et c LAVS (art. 50 du règlement sur l'assurance-vieillesse et survivants du 31 octobre 1947 [RAVS ; RS 831.101]).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c) Les rentes partielles sont calculées linéairement en fonction du rapport entre les années entières de cotisations de la personne assurée et celles de sa classe d'âge (art. 52 RAVS; ATF 131 V 371 consid. 6.2 et les références). Conformément à l'art. 53 RAVS, l'Office fédéral des assurances sociales (OFAS) établit des tables de rentes dont l'usage est obligatoire. La rente est calculée sur la base du revenu annuel moyen de l'assuré (art. 29quater première phrase LAVS). Sont pris en compte les revenus d'une activité lucrative sur lesquels des cotisations ont été versées (art. 29quinquies al. 1 LAVS). La somme des revenus de l'activité lucrative est revalorisée en fonction d'un indice déterminé chaque année par le Conseil fédéral (art. 30 al. 1 LAVS). Le Conseil fédéral a délégué la compétence de fixer le facteur de revalorisation à l’OFAS (art. 51bis al. 1 RAVS). Le calcul du revenu annuel moyen prend également en considération les périodes de cotisations et les revenus correspondants pris en compte en vertu de l’art. 52c RAVS (cf. art. 51 al. 2 RAVS).</w:t>
      </w:r>
    </w:p>
    <w:p>
      <w:r>
        <w:t>A/3269/2011 - 20/22 -</w:t>
      </w:r>
    </w:p>
    <w:p>
      <w:r>
        <w:rPr>
          <w:b/>
        </w:rPr>
        <w:t>E. 10</w:t>
      </w:r>
    </w:p>
    <w:p>
      <w:r>
        <w:t>Il convient d’examiner le calcul de la rente à la lumière de ces dispositions. Pour déterminer le revenu moyen, la Caisse a divisé les revenus soumis à cotisation de 2005 à 2008, soit 98'081 fr. divisés par une durée de cotisations de deux ans et neuf mois et revalorisés par un facteur 1. C'est bien un facteur de 1 qui s'applique pour les cas d’assurance survenus en 2010 lorsque les premières inscriptions ont été portées au compte individuel de l’assuré en 2005 (Facteurs de revalorisation 2010 de l’OFAS). En revanche, la durée de cotisations retenue par la Caisse semble inexacte. La Caisse a en effet fait abstraction des mois de cotisation en 2009. Or, le droit à la rente s’ouvre le 1er janvier 2010 et il convient de prendre en compte les revenus réalisés jusqu’au 31 décembre qui précède, soit en l'espèce le 31 décembre 2009. Par ailleurs, la Caisse mentionne une durée de cotisation totale de trois ans et cinq mois, dont huit durant l’année d’ouverture du droit à la rente. Cependant, selon l’extrait de compte, la durée de cotisations jusqu'à fin 2009 est de 38 mois au total, soit trois ans et trois mois. Le calcul de la Caisse paraît donc erroné. En intégrant comme il se doit les revenus soumis à cotisations en 2009 au calcul du revenu moyen déterminant, on obtient un revenu total de 104'930 fr. qu’il convient de diviser par la durée de cotisation de trois ans et trois mois, ce qui donne un revenu moyen déterminant de 32'286 fr. S’agissant de l’échelle applicable, la durée de cotisations complète des assurés nés en 1972 est de 17 ans pour les cas d'assurance survenant en 2010, et l'échelle de rente 8 est applicable aux assurés qui comme la recourante présentent une durée de cotisations de 3 ans seulement (Table des rentes de l’OFAS 2009, p. 8 et 11). Cette échelle prévoit un montant mensuel de 283 fr. pour une rente entière pour les revenus jusqu'à 32'832 fr., ce qui se révèle inférieur à la rente calculée par la Caisse. C’est le lieu de rappeler que le juge des assurances sociales n'est pas lié par les conclusions des parties et peut réformer la décision attaquée au détriment du recourant, après l'avoir averti et lui avoir donné la possibilité de s'exprimer (cf. art. 61 let. d LPGA). Il ne s’agit toutefois que d’une faculté donnée au juge de réformer la décision attaquée en défaveur d’une partie, à laquelle il peut renoncer au vu de l’ensemble des circonstances (ATF 119 V 241, consid. 5 ; ATFA non publié C 119/02 du 2 juin 2003, consid. 4). En l’espèce, compte tenu du fait que la rente est limitée dans le temps et de la différence minime des montants de la rente, la Cour de céans renonce à faire usage de cette faculté.</w:t>
      </w:r>
    </w:p>
    <w:p>
      <w:r>
        <w:rPr>
          <w:b/>
        </w:rPr>
        <w:t>E. 11</w:t>
      </w:r>
    </w:p>
    <w:p>
      <w:r>
        <w:t>Si la décision de l'intimé doit être confirmée en tant qu'elle porte sur la durée du versement de la rente, l'aide au placement proposée ne paraît pas suffisante eu égard aux limitations fonctionnelles de la recourante et au fait que les médecins n'ont donné aucun exemple d'activité adaptée. Il est notamment à rappeler que, selon l'expertise multidisciplinaire du 2 décembre 2010, seules des mesures de reclassement professionnel peuvent présager d'une évolution favorable, pour autant que l'environnement professionnel soit accueillant.</w:t>
      </w:r>
    </w:p>
    <w:p>
      <w:r>
        <w:t>A/3269/2011 - 21/22 - Or, selon l'art. 15 LAI, l'assuré auquel son invalidité rend difficile le choix d’une profession ou l’exercice de son activité antérieure a droit à l’orientation professionnelle. Point n'est en principe besoin de présenter une perte de gain pour bénéficier d'une telle mesure (Arrêt du Tribunal fédéral 9C_385/2009 du 13 octobre 2009). Il convient aussi de rappeler que l’administration doit en principe indiquer quelles sont les possibilités de travail concrètes qui entrent en considération, en fonction des limitations de l’assuré (arrêt du Tribunal fédéral I 588/05 du 27 avril 2006 consid. 3; ATF 107 V 20 consid. 2b = RCC 1982 p. 34)- Il y a donc lieu d'octroyer à la recourante une mesure d'orientation professionnelle, qui inclut également les conseils en matière de carrière et qui a pour but de cerner la personnalité des assurés, afin de déterminer leurs capacités et leurs dispositions. Celles-ci constitueront la base permettant de choisir une activité professionnelle appropriée ou une activité dans un autre domaine, voire un placement adéquat (Circulaire sur les mesures de réadaptation d'ordre professionnel [CMRP] de l'Office fédéral des assurances sociales valable dès le 1er janvier 2011, n° 2001)</w:t>
      </w:r>
    </w:p>
    <w:p>
      <w:r>
        <w:rPr>
          <w:b/>
        </w:rPr>
        <w:t>E. 12</w:t>
      </w:r>
    </w:p>
    <w:p>
      <w:r>
        <w:t>Compte tenu de ce qui précède, le recours sera partiellement admis.</w:t>
      </w:r>
    </w:p>
    <w:p>
      <w:r>
        <w:rPr>
          <w:b/>
        </w:rPr>
        <w:t>E. 13</w:t>
      </w:r>
    </w:p>
    <w:p>
      <w:r>
        <w:t>La recourante, qui est représentée, a droit à des dépens qu'il convient de fixer à 500 fr. (art. 61 let. g LPGA).</w:t>
      </w:r>
    </w:p>
    <w:p>
      <w:r>
        <w:rPr>
          <w:b/>
        </w:rPr>
        <w:t>E. 14</w:t>
      </w:r>
    </w:p>
    <w:p>
      <w:r>
        <w:t>L'émolument de justice, fixé à 200 fr., est mis à la charge de l'intimé.</w:t>
      </w:r>
    </w:p>
    <w:p>
      <w:r>
        <w:t>A/3269/2011 - 22/22 -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