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ATAS/461/2023 vom 20. Juni 2023</w:t>
      </w:r>
    </w:p>
    <w:p>
      <w:r>
        <w:t>GE Cour de justice, 2023-06-20, FR</w:t>
      </w:r>
    </w:p>
    <w:p>
      <w:r>
        <w:rPr>
          <w:b/>
        </w:rPr>
        <w:t xml:space="preserve">Quelle: </w:t>
      </w:r>
      <w:r>
        <w:t>https://mcp.opencaselaw.ch/entscheid/ge_gerichte_ATAS_461_2023</w:t>
      </w:r>
    </w:p>
    <w:p>
      <w:r>
        <w:t>FR: GE_GERICHTE ATAS/461/2023 du 20 juin 2023</w:t>
      </w:r>
    </w:p>
    <w:p>
      <w:r>
        <w:t>IT: GE_GERICHTE ATAS/461/2023 del 20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Le délai de recours est de trente jours (art. 56 LPGA; art. 62 al. 1 de la de loi sur la procédure administrative du 12 septembre 1985 [LPA - E 5 10]). Le recours respecte la forme et le délai prévus par la loi.</w:t>
      </w:r>
    </w:p>
    <w:p>
      <w:r>
        <w:rPr>
          <w:b/>
        </w:rPr>
        <w:t>E. 2.2</w:t>
      </w:r>
    </w:p>
    <w:p>
      <w:r>
        <w:t>Se pose toutefois la question de savoir si le recours doit être qualifié d'action de constatation de droit, hypothèse dans laquelle il n'est recevable qu'à certaines conditions. En effet, le recourant ne demande pas l'octroi de prestations précises, tels que le versement d'indemnités journalières ou le remboursement de frais médicaux, mais se contente de conclure à l'octroi des prestations d'assurance en rapport avec l'évènement du 5 mai 2019 jusqu'au statu quo sine ou ante.</w:t>
      </w:r>
    </w:p>
    <w:p>
      <w:r>
        <w:rPr>
          <w:b/>
        </w:rPr>
        <w:t>E. 2.2.1</w:t>
      </w:r>
    </w:p>
    <w:p>
      <w:r>
        <w:t>Selon la jurisprudence, la recevabilité d'une action en constatation est admise si le demandeur a un intérêt digne de protection à la constatation immédiate de rapports de droit litigieux et ne peut obtenir en sa faveur un jugement condamnatoire ou une action formatrice. Un intérêt de fait suffit, pour autant qu'il s'agisse d'un intérêt actuel et immédiat (ATF 132 V 18 consid. 2.2 p. 21 ;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w:t>
      </w:r>
    </w:p>
    <w:p>
      <w:r>
        <w:t>A/506/2023 - 7/16 -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 120 II 22 consid. 3).</w:t>
      </w:r>
    </w:p>
    <w:p>
      <w:r>
        <w:rPr>
          <w:b/>
        </w:rPr>
        <w:t>E. 2.2.2</w:t>
      </w:r>
    </w:p>
    <w:p>
      <w:r>
        <w:t>En l'espèce, les conclusions du recourant sont trop générales et imprécises pour être qualifiées de conclusions condamnatoires. Par ailleurs, il lui aurait été tout à fait possible de conclure à la condamnation de l'intimée au remboursement de factures déterminées ou à l'octroi d'indemnités journalières pour de nouvelles incapacités de travail en rapport avec l'évènement litigieux. Toutefois, dans la mesure où l'intimée a pris une décision de constatation d'absence d'obligation de prendre en charge les prestations futures en rapport avec l'évènement en cause et avec les atteintes au genou droit, le recourant a un intérêt digne de protection de contester cette décision, afin de préserver ses droits et d'éviter que la décision querellée ne puisse lui être opposée par la suite comme étant entrée en force de chose jugée sur la question du rapport de causalité. Par conséquent, le recours est recevable.</w:t>
      </w:r>
    </w:p>
    <w:p>
      <w:r>
        <w:rPr>
          <w:b/>
        </w:rPr>
        <w:t>E. 3</w:t>
      </w:r>
    </w:p>
    <w:p>
      <w:r>
        <w:t>Le litige porte sur la question de savoir si les atteintes au genou droit qui subsistent postérieurement à l'arthroscopie du 4 septembre 2020 sont dans un rapport de causalité avec l'événement du 5 mai 2019 et, de manière générale, si les atteintes à ce genou qui pourraient survenir dans le futur après un nouvel évènement accidentel touchant cette articulation doivent être considérées d'emblée d'origine maladive. Il y a lieu à cet égard de rappeler que l'intimée a accordé ses prestations, du moins pour les traitements médicaux, jusqu'à l'arthroscopie précitée. Dans la négative, se pose la question de savoir si les atteintes au genou droit doivent être considérées comme une rechute de l'accident survenu en 2003.</w:t>
      </w:r>
    </w:p>
    <w:p>
      <w:r>
        <w:rPr>
          <w:b/>
        </w:rPr>
        <w:t>E. 4.1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w:t>
      </w:r>
    </w:p>
    <w:p>
      <w:r>
        <w:rPr>
          <w:b/>
        </w:rPr>
        <w:t>E. 4.2</w:t>
      </w:r>
    </w:p>
    <w:p>
      <w:r>
        <w:t>Suivant la définition même de l'accident, le caractère extraordinaire de l'atteinte ne concerne pas les effets du facteur extérieur, mais seulement ce facteur</w:t>
      </w:r>
    </w:p>
    <w:p>
      <w:r>
        <w:t>A/506/2023 - 8/16 -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4.3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4.4</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w:t>
      </w:r>
    </w:p>
    <w:p>
      <w:r>
        <w:rPr>
          <w:b/>
        </w:rPr>
        <w:t>E. 5.1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w:t>
      </w:r>
    </w:p>
    <w:p>
      <w:r>
        <w:t>A/506/2023 - 9/16 -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5.3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5.4</w:t>
      </w:r>
    </w:p>
    <w:p>
      <w:r>
        <w:t>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w:t>
      </w:r>
    </w:p>
    <w:p>
      <w:r>
        <w:rPr>
          <w:b/>
        </w:rPr>
        <w:t>E. 5.5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6.1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w:t>
      </w:r>
    </w:p>
    <w:p>
      <w:r>
        <w:t>A/506/2023 - 10/16 -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6.2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w:t>
      </w:r>
    </w:p>
    <w:p>
      <w:r>
        <w:t>A/506/2023 - 11/16 -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cela simplifie de toute évidence la preuve de la libération pour l'assureur- 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 accidents a apporté la preuve de la « libération » et qu’il n’est pas nécessaire d’apporter des clarifications supplémentaires (consid. 8.6).</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w:t>
      </w:r>
    </w:p>
    <w:p>
      <w:r>
        <w:t>A/506/2023 - 12/16 - nouvelles explications pouvant être, consciemment ou non, le produit de réflexions ultérieures (ATF 143 V 168 consid. 5.2.2 et les références ; arrêt du Tribunal fédéral 8C_662/2016 consid. 4.3).</w:t>
      </w:r>
    </w:p>
    <w:p>
      <w:r>
        <w:rPr>
          <w:b/>
        </w:rPr>
        <w:t>E. 9.1</w:t>
      </w:r>
    </w:p>
    <w:p>
      <w:r>
        <w:t>En l'espèce, une cause extérieure extraordinaire dans la survenance de l'évènement du 5 mai 2019 fait manifestement défaut. En effet, le témoin a nié qu'il y a eu une collision avec le recourant pendant le match de squash. Par conséquent, cet évènement ne peut être considéré comme un accident, indépendamment du fait qu'il s'est produit lors de la pratique habituelle du sport.</w:t>
      </w:r>
    </w:p>
    <w:p>
      <w:r>
        <w:rPr>
          <w:b/>
        </w:rPr>
        <w:t>E. 9.2</w:t>
      </w:r>
    </w:p>
    <w:p>
      <w:r>
        <w:t>Se pose dès lors la question de savoir si les atteintes au genou constituent une lésion assimilée à un accident au sens de l'art. 6 al. 2 LAA.</w:t>
      </w:r>
    </w:p>
    <w:p>
      <w:r>
        <w:rPr>
          <w:b/>
        </w:rPr>
        <w:t>E. 9.2.1</w:t>
      </w:r>
    </w:p>
    <w:p>
      <w:r>
        <w:t>Les atteintes au genou du recourant sont mentionnées à ce titre sous les lettres c (déchirures du ménisque) et g (lésions de ligament) de cette disposition. Par ailleurs, même si l'évènement du 5 mai 2019 ne constitue pas un accident au sens de la loi, il s'agit néanmoins d'un événement initial reconnaissable et identifiable. En effet, c'est en courant et en arrêtant brusquement la course pour prendre la balle de son partenaire de jeu que le recourant a ressenti des douleurs au genou, si bien que le match a dû être interrompu.</w:t>
      </w:r>
    </w:p>
    <w:p>
      <w:r>
        <w:rPr>
          <w:b/>
        </w:rPr>
        <w:t>E. 9.2.2</w:t>
      </w:r>
    </w:p>
    <w:p>
      <w:r>
        <w:t>Par conséquent, il sied d'examiner si l'intimée a réussi à renverser la présomption légale, selon laquelle les lésions figurant à l'art. 6 al. 2 LAA sont des lésions semblables aux conséquences d’un accident, en apportant la preuve que les atteintes sont manifestement dues à l’usure ou à une maladie. Suite à l'évènement en cause, le recourant a été opéré le 17 mai 2019 par le Dr C______ qui a alors posé les diagnostics post-opératoires de rupture en anse de seau du LCA, lésion probablement ancienne du LCA consécutive au traumatisme en 2003, et une lésion partielle du bord libre du ménisque interne. L'intervention a consisté en une réduction et suture de l'anse de seau du ménisque interne et un toilettage de la corne moyenne du ménisque externe et plastie du LCA. Une incapacité de travail est attestée à 100% jusqu'au 11 juin 2019 et à 20% jusqu'au 30 juin 2019. L'IRM du 7 janvier 2020 met en évidence une plastie du LCA intacte et la présence de plusieurs lésions de la corne postérieure et du segment moyen du ménisque médial, une chrondropathie condylienne profonde et un œdème osseux sous-chondral périphérique. Dans son rapport du 17 février 2020, le Dr C______ précise que les suites opératoires ont été progressivement favorables avec toutefois, par intermittence, des sensations et des petits blocages du genou droit. L'IRM montre la « présence de ce qui semble être une récidive de lésion au niveau de cette lésion en anse de seau du ménisque interne ». Le traitement est conservateur, mais une intervention de type arthroscopie avec méniscectomie partielle interne n'est pas exclue dans l'avenir si la situation ne devait pas se calmer et si le recourant devenait trop symptomatique. Puis, par courriel du</w:t>
      </w:r>
    </w:p>
    <w:p>
      <w:r>
        <w:t>A/506/2023 - 13/16 -</w:t>
      </w:r>
    </w:p>
    <w:p>
      <w:r>
        <w:rPr>
          <w:b/>
        </w:rPr>
        <w:t>E. 13</w:t>
      </w:r>
    </w:p>
    <w:p>
      <w:r>
        <w:t>La procédure est gratuite.</w:t>
      </w:r>
    </w:p>
    <w:p>
      <w:r>
        <w:t>A/506/2023 - 16/16 -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