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ATAS/461/2013 vom 14. Mai 2013</w:t>
      </w:r>
    </w:p>
    <w:p>
      <w:r>
        <w:t>GE Cour de justice, 2013-05-14, FR</w:t>
      </w:r>
    </w:p>
    <w:p>
      <w:r>
        <w:rPr>
          <w:b/>
        </w:rPr>
        <w:t xml:space="preserve">Quelle: </w:t>
      </w:r>
      <w:r>
        <w:t>https://mcp.opencaselaw.ch/entscheid/ge_gerichte_ATAS_461_2013</w:t>
      </w:r>
    </w:p>
    <w:p>
      <w:r>
        <w:t>FR: GE_GERICHTE ATAS/461/2013 du 14 mai 2013</w:t>
      </w:r>
    </w:p>
    <w:p>
      <w:r>
        <w:t>IT: GE_GERICHTE ATAS/461/2013 del 14 maggio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2005 (5ème révision) et du 18 mars 2011 (révision 6a), entrées en vigueur le 1er janvier 2004, respectivement, le 1er janvier 2008 et le 1er janvier 2012, ont entraîné la modification de nombreuses dispositions légales dans le domaine de l'assurance-invalidité. Au vu des faits pertinents du point de vue matériel, le droit éventuel aux prestations doit être examiné à la lumière des 5ème et 6ème révisions (révision 6a) de cette loi, dans la mesure de leur pertinence (ATF 130 V 445 et les références; voir également ATF 130 V 329).</w:t>
      </w:r>
    </w:p>
    <w:p>
      <w:r>
        <w:rPr>
          <w:b/>
        </w:rPr>
        <w:t>E. 4</w:t>
      </w:r>
    </w:p>
    <w:p>
      <w:r>
        <w:t>Le délai de recours est de 30 jours (art. 40 al. LPGA). Interjeté dans la forme et le délai prévus par la loi, le recours est recevable, en vertu des art. 56 et ss LPGA.</w:t>
      </w:r>
    </w:p>
    <w:p>
      <w:r>
        <w:t>A/178/2013 - 10/18 -</w:t>
      </w:r>
    </w:p>
    <w:p>
      <w:r>
        <w:rPr>
          <w:b/>
        </w:rPr>
        <w:t>E. 5</w:t>
      </w:r>
    </w:p>
    <w:p>
      <w:r>
        <w:t>Est litigieuse dans le cas d'espèce la question de savoir si la recourante présente une invalidité lui ouvrant un droit aux prestations de l'assurance-invalidité suite à sa nouvelle demande du 21 avril 2010.</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c) Les atteintes à la santé psychique peuvent, comme les atteintes physiques, entraîner une invalidité au sens de l'art. 4 al. 1 LAI en relation avec l'art. 8 LPGA. On ne considère pas comme des conséquences d'un état psychique maladif, donc pas comme des affections à prendre en charge par l'assurance-invalidité, les diminutions de la capacité de gain que l'assuré pourrait empêcher en faisant preuve</w:t>
      </w:r>
    </w:p>
    <w:p>
      <w:r>
        <w:t>A/178/2013 - 11/18 - de bonne volonté; la mesure de ce qui est exigible doit être déterminée aussi objectivement que possible (ATF 102 V 165; ATFA non publié I 786/04 du 19 janvier 2006, consid. 3.1). Dans l'éventualité où des troubles psychiques ayant valeur de maladie sont finalement admis, il convient alors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d)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w:t>
      </w:r>
    </w:p>
    <w:p>
      <w:r>
        <w:t>A/178/2013 - 12/18 -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t>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e)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w:t>
      </w:r>
    </w:p>
    <w:p>
      <w:r>
        <w:t>A/178/2013 - 13/18 -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w:t>
      </w:r>
    </w:p>
    <w:p>
      <w:r>
        <w:t>A/178/2013 - 14/18 - généralement enclin, en cas de doute, à prendre parti pour son patient en raison de la relation de confiance qui l'unit à ce dernier (ATF 125 V 351, consid. 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rPr>
          <w:b/>
        </w:rPr>
        <w:t>E. 8</w:t>
      </w:r>
    </w:p>
    <w:p>
      <w:r>
        <w:t>En l'espèce, l'intimé fonde sa décision sur le rapport d'examen rhumato- psychiatrique du 14 novembre 2011 du SMR pour refuser toute prestation à l'assurée, qui ne présente qu'un taux d'invalidité de 16% pour une capacité de travail</w:t>
      </w:r>
    </w:p>
    <w:p>
      <w:r>
        <w:t>A/178/2013 - 15/18 - de 80% dans une activité adaptée à ses limitations fonctionnelles somatiques. L'assurée estime quant à elle, en se fondant sur les avis de ses médecins traitants, que sa capacité de travail est plus largement entravée, sans indiquer toutefois si elle est totalement ou partiellement incapable de travailler. Elle conclut à être mise au bénéfice de l'AI, sans précision, et à ce que la Cour réexamine le cas et ordonne un complément d'expertise.</w:t>
      </w:r>
    </w:p>
    <w:p>
      <w:r>
        <w:t>Le rapport d'examen du SMR est fondé sur le dossier de l'assurée, en particulier les rapports médicaux de son généraliste et de son psychiatre, celui des HUG de mai 2010, ainsi que sur l'examen de l'assurée. Il comporte une anamnèse brève mais précise, mentionne les plaintes de l'assurée et décrit les constatations objectives. Ses conclusions sont claires et bien motivées, de sorte qu'il convient de reconnaître à ce rapport une pleine valeur probante.</w:t>
      </w:r>
    </w:p>
    <w:p>
      <w:r>
        <w:t>Du point de vue somatique, les conclusions du SMR ne sont pas remises en cause par les avis des médecins traitants de l'assurée. Suite à l'intervention chirurgicale effectuée le 15 octobre 2009, le Dr H__________ a attesté d'une nette amélioration de la symptomatologie, avec disparition quasi complète des sciatalgies, en précisant que la surcharge pondérale et la dépression avaient un impact sur les douleurs résiduelles. Le Dr G__________ met en avant les diagnostics psychiatriques pour justifier de la capacité de travail limitée de sa patiente et le Dr B__________ confirme que l'examen clinique neurologique est normal. Le diagnostic de fibromyalgie retenu par les médecins du SMR est confirmé par l'avis du Dr A__________, qui retient des douleurs somatoformes depuis juin 2009, et par le Dr B__________, qui confirme que les céphalées sont dues à un état poly-algique lié à un état dépressif chronique. On comprend dès lors que l'appréciation du cas soit difficile, comme le relèvent les médecins du SMR, en raison de l'association de douleurs lombaires et de la fibromyalgie de fond. De façon nuancée donc, "en faisant la part des choses", le rhumatologue du SMR retient que la présence des troubles dégénératifs étagés et la persistance de douleurs lombaires empêchent l'activité de nettoyeuse, mais ne limitent que peu l'activité adaptée aux limitations fonctionnelles retenues. Sur ce point donc, le rapport du SMR n'est pas critiquable, ni sérieusement remis en cause par les autres médecins.</w:t>
      </w:r>
    </w:p>
    <w:p>
      <w:r>
        <w:t>Du point de vue psychiatrique, le rapport du SMR retient une dysthymie et une personnalité dépendante. En juin 2010, le Dr A__________ retenait un épisode dépressif léger. D'ailleurs, l'assurée a cessé tout suivi psychiatrique d'octobre 2010 à septembre 2011. S'il est exact que lors des admissions en psychiatrie de fin avril 2010 et fin octobre 2011, les HUG ont retenu le diagnostic de trouble dépressif, épisode actuel moyen, les rapports mentionnent à chaque fois une amélioration de la thymie, après adaptation du traitement. D'ailleurs, les rapports des HUG révèlent que, tant en 2010 qu'en 2011, l'assurée est amenée à l'unité de psychiatrie par sa sœur aînée, qui se sent envahie par la présence de l'assurée, étant précisé que fin octobre 2011, l'assurée n'a pas été hospitalisée en unité psychiatrique, mais</w:t>
      </w:r>
    </w:p>
    <w:p>
      <w:r>
        <w:t>A/178/2013 - 16/18 - seulement suivie avec quelques nuits au CTB, qui lui a clairement indiqué que son état ne nécessitait pas d'hospitalisation. Il ressort ainsi clairement des divers rapports des HUG, mais également de ceux des psychiatres traitants, que l'assurée a connu plusieurs périodes d'exacerbation de son état dépressif et anxieux, depuis 2007, à l'occasion de séparations ou de conflits familiaux, les hospitalisations ayant surtout permis de prendre de la distance par rapport à la situation. Dans l'hypothèse même où l'appréciation des médecins du SMR avait sous-évalué l'intensité du trouble dépressif, qui oscillerait entre un trouble léger et un trouble moyen, au lieu d'une dysthymie, cela ne permet pas pour autant de remettre en cause les conclusions. Avec un suivi psychiatrique régulier et une médication adéquate, ce trouble dépressif, qui est traité depuis 2002 par le Dr A__________, est sans effet sur la capacité de travail de l'assurée, qui ne présente que de brefs épisodes nécessitant une prise en charge accrue. Au demeurant, associé à une fibromyalgie, un trouble dépressif même de gravité moyenne, ne représente pas une comorbidité suffisamment intense pour être considérée comme étant invalidante.</w:t>
      </w:r>
    </w:p>
    <w:p>
      <w:r>
        <w:t>Pour le surplus, la Dresse L_________ n'expose pas pourquoi, malgré un traitement adéquat, les troubles retenus seraient totalement invalidants. Finalement, contrairement aux griefs de l'assurée, le psychiatre du SMR a tenu compte du diagnostic de personnalité dépendante. Au surplus, le léger retard mental est sans conséquence sur une activité simple, répétitive, ne nécessitant aucune formation. Ainsi, aucun élément mis en avant par ce médecin traitant ne justifie de s'écarter de l'avis du SMR et d'ordonner une expertise judiciaire.</w:t>
      </w:r>
    </w:p>
    <w:p>
      <w:r>
        <w:t>En conclusion donc, l'assurée ne fait pas valoir d'argument probant qui permettrait de s'écarter des conclusions du SMR, s'agissant d'une capacité de travail de 80 %, dans une activité adaptée aux limitations non contestées de l'assurée (port de charge limité, alternance des positions et pas de position en porte à faux, ni en flexion extension du tronc ou en rotation).</w:t>
      </w:r>
    </w:p>
    <w:p>
      <w:r>
        <w:t>A ce sujet, le Tribunal fédéral a maintes fois confirmé que la référence au salaire statistique de l'ESS, TA1, général, était admissible en présence de limitations fonctionnelles de ce type, dès lors qu'une grande partie des métiers non qualifiés représentant le salaire statistique retenu était accessible, sans formation particulière, aux assurés concernés, sans que l'OAI doive nécessairement faire une liste des métiers en questions. Après l'intervention d'octobre 2009, l'assurée dispose à nouveau d'une capacité de travail de 80% dans une activité adaptée dès mars 2010, de sorte qu'elle ne peut pas prétendre à une rente. Au vu du taux d'invalidité et du fait que les activités adaptées sont accessibles sans formation, des mesures professionnelles n'ont pas lieu d'être.</w:t>
      </w:r>
    </w:p>
    <w:p>
      <w:r>
        <w:rPr>
          <w:b/>
        </w:rPr>
        <w:t>E. 9</w:t>
      </w:r>
    </w:p>
    <w:p>
      <w:r>
        <w:t>Le recours, mal fondé sera rejeté. Etant donné que, depuis le 1er juillet 2006, la procédure n'est plus gratuite (art. 69 al. 1bis LAI), mais que la recourante plaide au</w:t>
      </w:r>
    </w:p>
    <w:p>
      <w:r>
        <w:t>A/178/2013 - 17/18 - bénéfice de l'assistance judiciaire, aucun émolument ne sera mis à sa charge, malgré l'issue du recours.</w:t>
      </w:r>
    </w:p>
    <w:p>
      <w:r>
        <w:t>A/178/2013 - 18/18 -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