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ATAS/461/2010 vom 30. April 2010</w:t>
      </w:r>
    </w:p>
    <w:p>
      <w:r>
        <w:t>GE Cour de justice, 2010-04-30, FR</w:t>
      </w:r>
    </w:p>
    <w:p>
      <w:r>
        <w:rPr>
          <w:b/>
        </w:rPr>
        <w:t xml:space="preserve">Quelle: </w:t>
      </w:r>
      <w:r>
        <w:t>https://mcp.opencaselaw.ch/entscheid/ge_gerichte_ATAS_461_2010</w:t>
      </w:r>
    </w:p>
    <w:p>
      <w:r>
        <w:t>FR: GE_GERICHTE ATAS/461/2010 du 30 avril 2010</w:t>
      </w:r>
    </w:p>
    <w:p>
      <w:r>
        <w:t>IT: GE_GERICHTE ATAS/461/2010 del 30 aprile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w:t>
      </w:r>
    </w:p>
    <w:p>
      <w:r>
        <w:t>- 7/10-</w:t>
      </w:r>
    </w:p>
    <w:p>
      <w:r>
        <w:t>A/207/2009</w:t>
      </w:r>
    </w:p>
    <w:p>
      <w:r>
        <w:rPr>
          <w:b/>
        </w:rPr>
        <w:t>E. 2</w:t>
      </w:r>
    </w:p>
    <w:p>
      <w:r>
        <w:t>Interjeté dans les forme et délai prévus par la loi, le recours est recevable (art. 56 à 60 LPGA).</w:t>
      </w:r>
    </w:p>
    <w:p>
      <w:r>
        <w:rPr>
          <w:b/>
        </w:rPr>
        <w:t>E. 3</w:t>
      </w:r>
    </w:p>
    <w:p>
      <w:r>
        <w:t>Est litigieuse la question de savoir si les troubles présentés par la recourante aussi bien somatiques que psychiatriques constituent une invalidité au sens de l’AI engendrant une incapacité de gain et donnant droit à des prestations de l’assurance invalidité.</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totalement divergents au sujet de la question de l’invalidité de Madame P___________</w:t>
      </w:r>
    </w:p>
    <w:p>
      <w:r>
        <w:rPr>
          <w:b/>
        </w:rPr>
        <w:t>E. 5</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w:t>
      </w:r>
    </w:p>
    <w:p>
      <w:r>
        <w:t>- 8/10-</w:t>
      </w:r>
    </w:p>
    <w:p>
      <w:r>
        <w:t>A/207/2009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6</w:t>
      </w:r>
    </w:p>
    <w:p>
      <w:r>
        <w:t>En l'espèce, le Tribunal constate que les doutes émis par la recourante sur la valeur probante des conclusions des rapports du SMR sont justifiés. Les médecins qui suivent la recourante ont notamment insisté sur le fait que Madame P___________ présentait un état dépressif sévère et une fibromyalgie, ont confirmé sans réserve et sans ambiguïté que son état de santé n’a présenté aucune amélioration depuis 2005 et enfin qu’elle était en totale incapacité de travail en raison de ses troubles tant physique que psychique. Ces avis éclairés emportent la conviction du Tribunal, et met en doute la valeur probante des conclusions du SMR et de l’OCAI.</w:t>
      </w:r>
    </w:p>
    <w:p>
      <w:r>
        <w:rPr>
          <w:b/>
        </w:rPr>
        <w:t>E. 7</w:t>
      </w:r>
    </w:p>
    <w:p>
      <w:r>
        <w:t>Par conséquent, vu la jurisprudence susmentionnée, il y a lieu d'ordonner une expertise pluridisciplinaire de la recourante. En application des articles 38 et suivants de la loi sur la procédure administrative (LPA), un délai a été accordé aux parties pour indiquer les questions particulières qu'elles souhaitent voir figurer dans la mission d'expertise, ainsi que pour se déterminer sur le nom des experts, à savoir le Dr G___________, spécialiste FMH médecine interne et rhumatologie et le Dr H___________, spécialiste en psychiatrie et psychothérapie.</w:t>
      </w:r>
    </w:p>
    <w:p>
      <w:r>
        <w:rPr>
          <w:b/>
        </w:rPr>
        <w:t>E. 8</w:t>
      </w:r>
    </w:p>
    <w:p>
      <w:r>
        <w:t>Aussi bien la recourante que l’intimé n’ont formulé aucune observation au sujet du choix des experts et des questions figurant dans la mission d’expertise.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