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ATAS/460/2023 vom 20. Juni 2023</w:t>
      </w:r>
    </w:p>
    <w:p>
      <w:r>
        <w:t>GE Cour de justice, 2023-06-20, FR</w:t>
      </w:r>
    </w:p>
    <w:p>
      <w:r>
        <w:rPr>
          <w:b/>
        </w:rPr>
        <w:t xml:space="preserve">Quelle: </w:t>
      </w:r>
      <w:r>
        <w:t>https://mcp.opencaselaw.ch/entscheid/ge_gerichte_ATAS_460_2023</w:t>
      </w:r>
    </w:p>
    <w:p>
      <w:r>
        <w:t>FR: GE_GERICHTE ATAS/460/2023 du 20 juin 2023</w:t>
      </w:r>
    </w:p>
    <w:p>
      <w:r>
        <w:t>IT: GE_GERICHTE ATAS/460/2023 del 20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A/2045/2022 - 7/14 - Sa compétence pour juger du cas d’espèce est ainsi établie.</w:t>
      </w:r>
    </w:p>
    <w:p>
      <w:r>
        <w:rPr>
          <w:b/>
        </w:rPr>
        <w:t>E. 2</w:t>
      </w:r>
    </w:p>
    <w:p>
      <w:r>
        <w:t>Interjeté dans les délai et forme prescrits par la loi, le recours est recevable.</w:t>
      </w:r>
    </w:p>
    <w:p>
      <w:r>
        <w:rPr>
          <w:b/>
        </w:rPr>
        <w:t>E. 3</w:t>
      </w:r>
    </w:p>
    <w:p>
      <w:r>
        <w:t>Est litigieux en l'espèce le droit du recourant à une rente d'invalidité.</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l'invalidité est survenue avant le 1er janvier 2022, de sorte que les dispositions légales applicables seront citées dans leur ancienne teneur.</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5.2</w:t>
      </w:r>
    </w:p>
    <w:p>
      <w:r>
        <w:t>;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w:t>
      </w:r>
    </w:p>
    <w:p>
      <w:r>
        <w:rPr>
          <w:b/>
        </w:rPr>
        <w:t>E. 5.3</w:t>
      </w:r>
    </w:p>
    <w:p>
      <w:r>
        <w:t>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5.4.1</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w:t>
      </w:r>
    </w:p>
    <w:p>
      <w:r>
        <w:rPr>
          <w:b/>
        </w:rPr>
        <w:t>E. 5.4.2</w:t>
      </w:r>
    </w:p>
    <w:p>
      <w:r>
        <w:t>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w:t>
      </w:r>
    </w:p>
    <w:p>
      <w:r>
        <w:t>A/2045/2022 - 9/14 -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Concrètement, selon cette méthode, il faut tout d’abord effectuer une comparaison des champs d’activités. Il convient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de référence usuel dans la branche. On peut ainsi déterminer le revenu sans invalidité et le revenu d’invalide et effectuer une comparaison des revenus (Circulaire sur l’invalidité et l’impotence dans l’assurance-invalidité [CIIAI] publiée par l’Office fédéral des assurances sociales dans sa version valable à partir du 1er janvier 2015, ch. 3104-3105).</w:t>
      </w:r>
    </w:p>
    <w:p>
      <w:r>
        <w:rPr>
          <w:b/>
        </w:rPr>
        <w:t>E. 5.4.3</w:t>
      </w:r>
    </w:p>
    <w:p>
      <w:r>
        <w:t>Il existe dans le domaine des assurances sociales un principe général selon lequel l'assuré doit entreprendre tout ce qui est raisonnablement exigible pour diminuer son dommage (ATF 129 V 460 consid. 4.2). C'est pourquoi un assuré n'a pas droit à une rente lorsqu'il serait en mesure, au besoin en changeant de profession, d'obtenir un revenu excluant une invalidité ouvrant droit à une rente.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des assurances I.750/04 du 5 avril 2006 consid. 5.3).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w:t>
      </w:r>
    </w:p>
    <w:p>
      <w:r>
        <w:t>A/2045/2022 - 10/14 - mesures incompatibles avec l'ensemble des circonstances objectives et subjectives (arrêt du Tribunal fédéral 9C_1066/2009 du 22 septembre 2010 consid. 4.1 et la référence). Dans son arrêt 9C_578/2009 du 29 décembre 2009, le Tribunal fédéral a admis qu'il ne pouvait être exigé d'un agriculteur de 57 ans au moment de la décision et qui avait toujours une capacité de travail résiduelle de 50% dans son métier, qu'il change de profession (consid. 4.3). Ce faisant, le Tribunal fédéral a pris en considération son manque d'expérience professionnelle dans un autre domaine économique, la profonde remise en question socio-professionnelle qu'impliquait le passage du statut d'agriculteur indépendant à celui de salarié, l'absence de capacités de réadaptation subjective, l'attachement subjectif et personnel le liant à son entreprise et les perspectives de revenu seulement légèrement plus élevés par rapport au revenu qu'il pouvait obtenir dans le cadre de son activité agricole. Notre Haute Cour a toutefois admis qu'il s'agissait d'un cas limite.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l'occurrence, il n'est pas contesté que le recourant n'est en principe plus capable d'exercer son activité habituelle depuis le 22 mai 2017. Dans une activité adaptée à ses limitations fonctionnelles, il pourrait travailler à 100%. Cependant, selon le rapport du 7 avril 2022 du service de réadaptation de l'OAI, la seule possibilité de maintenir une capacité de gain est la poursuite de l'activité habituelle. Le recourant a exercé toute sa vie l'activité de maréchal-ferrant et celle-ci représente sa vie et sa passion. Il n'est pas familier des outils informatiques. Plusieurs années seraient nécessaires pour le réadapter dans un travail sédentaire, sans qu’il soit certain qu'il ait les capacités d'acquérir les compétences pour une activité de bureau. Ledit service estime dès lors qu'il n'est pas exigible qu'il change d'activité professionnelle</w:t>
      </w:r>
    </w:p>
    <w:p>
      <w:r>
        <w:rPr>
          <w:b/>
        </w:rPr>
        <w:t>E. 7.2</w:t>
      </w:r>
    </w:p>
    <w:p>
      <w:r>
        <w:t>Selon le rapport d'enquête du 15 octobre 2019, le recourant a hérité d'une forge, de la maison familiale et d'une carrière en zone agricole. Selon ce dernier, il n'avait en principe pas le droit d'habiter en zone agricole, raison pour laquelle il serait expulsé à l'âge de la retraite. Le bien immobilier est en outre hypothéqué et</w:t>
      </w:r>
    </w:p>
    <w:p>
      <w:r>
        <w:t>A/2045/2022 - 11/14 - il doit payer des intérêts hypothécaires. La situation est compliquée, dans la mesure où il ne peut pas vendre la propriété. Il subit également la concurrence étrangère déloyale qui pratique des prix imbattables. La concurrence est importante. Depuis 2009, il avait moins de travail. En 2011, son ouvrier et son apprenti sont partis avec une grande partie de la clientèle et la Compagnie 1602 qui était sa cliente, préfère faire ferrer les chevaux en France. Enfin, la clientèle du recourant est vieillissante. Le recourant met ses installations et prés à disposition en échange de services et de l'entretien de ses parcs, haies et de la carrière. Il a délégué le coupage du bois pour le chauffage et la forge à un tiers en échange d'une pension (pour cheval) presque gratuite. Le travail administratif consiste en la gestion des stocks et des commandes, ainsi que le contact téléphonique et la tenue de l'agenda pour les rendez-vous avec la clientèle. Ce travail représente, avec l'usinage, quatre heures par semaine. Sa mère s'occupe du reste de l'administration (factures, paiements, comptabilité et gestion administrative privée du recourant). Le recourant était contraint de reprendre partiellement son activité professionnelle pour subvenir à ses besoins (25 à 30%), en dépit des douleurs quotidiennes, ce qui péjore son état de santé. Selon cette enquête, l'analyse des tableaux de pertes et profits et de la perte de gain des années 2014 à 2018, ne permet pas de déterminer de façon fiable le revenu que le recourant aurait pu réaliser avec et sans invalidité, raison pour laquelle il convient d'appliquer la méthode extraordinaire, laquelle est fondée sur le tableau comparatif des champs d'activités et l'application à chaque activité pondérée du salaire usuel de la branche. Fondée sur cette méthode, l'enquête arrive à la constatation que la perte de gain est de 67%. Aux termes du second rapport d'enquête du 2 juin 2021, le taux de diminution du revenu est de 32% en comparant la moyenne avant l'incapacité de travail des années 2014 et 2016 à la moyenne des bénéfices 2018 à 2020. Selon le recourant, sa baisse de rendement est d'environ 30%, ce qui correspond à la perte de gain établie sur la base des documents comptables. La comparaison des champs d'activités (méthode extraordinaire), en tenant compte des activités effectivement réalisées, aboutit à la constatation d'une incapacité de travail de 33%. Dans le rapport du 7 avril 2022 du service de réadaptation de l'OAI, il est toutefois constaté que les revenus du recourant entre 2017 et 2019 sont moins élevés d'environ 50% que ceux des années précédentes, ce qui s'explique par le fait qu'il a subi deux séries de périodes d'incapacité de travail en 2017 et trois en 2019, pendant lesquelles sa capacité de travail était de 50%. Cette baisse est ainsi en lien direct avec les incapacités de travail, si bien que sa perte de gain est de 50%, selon ledit service.</w:t>
      </w:r>
    </w:p>
    <w:p>
      <w:r>
        <w:t>A/2045/2022 - 12/14 - Toutefois, l'OAI n'a reconnu par la suite qu'une perte de gain de 33%, selon la méthode extraordinaire.</w:t>
      </w:r>
    </w:p>
    <w:p>
      <w:r>
        <w:rPr>
          <w:b/>
        </w:rPr>
        <w:t>E. 7.3</w:t>
      </w:r>
    </w:p>
    <w:p>
      <w:r>
        <w:t>En premier lieu, il sied de constater qu'aussi bien la méthode ordinaire de comparaison des revenus que la méthode extraordinaire établissent la perte de gain à un taux inférieur à 40%. Quant à la comparaison des gains, la différence entre le calcul de la perte de gain effectué par le service de réadaptation de l'OAI et celui de l'enquête pour l'activité professionnelle indépendante tient au fait que, dans cette dernière, les années de comparaison sont les années 2014 à 2016, d'une part, et les années 2018 à 2020, d'autre part, alors que le service de réadaptation de l'OAI a comparé les revenus des années 2017 et 2019, d'une part, et les années 2015 à 2020, d'autre part. Il convient toutefois d'admettre que l'année 2017 n'est pas représentative de la capacité de gain du recourant, dans la mesure où il avait été en incapacité de travail, totale ou à 50%, suite à deux accidents, du 22 mai 2017 au 1er février 2018. Partant, le calcul de la perte de gain du service d'enquête ne prête pas le flanc à la critique. Au demeurant, en procédant à une comparaison de gain en incluant l'année 2021, la perte de gain serait toujours inférieure à 40%, selon le calcul suivant : Année Bénéfice corrigé selon l'AI 2018 30'437 2019 17'933 2020 22'409 2021 32'481 Moyenne: 103'260 : 4 = 25'815 Comparé à la moyenne des gains entre 2014 et 2016 de 34'552.-, selon l'enquête, la perte de gain est de 25,28 %. Quant à l'année 2022, elle n'était pas encore terminée au moment de la décision du 17 mai 2022 qui fait l'objet du recours. Toutefois, en incluant le bénéfice de CHF 18'606.- en 2022 dans la moyenne des gains à partir de 2018, la perte de gain moyenne serait toujours insuffisante pour ouvrir le droit à une rente. En effet, la moyenne des gains avec invalidité serait de CHF 24'373.20, ce qui donnerait une perte de gain de 29,61%. Par ailleurs, en prenant pour l'évaluation de la moyenne des gains sans invalidité ceux des années 2011 à 2016 afin de les comparer aux gains entre 2018 et 2022, la perte de gain serait encore moindre, dans la mesure où les gains en 2012 et 2013 étaient très bas, à savoir de respectivement CHF 25'600.- et CHF 25'300.-, selon le compte individuel de l'AVS, de sorte que la moyenne des gains de valide s'établirait à CHF 30'911.-.</w:t>
      </w:r>
    </w:p>
    <w:p>
      <w:r>
        <w:t>A/2045/2022 - 13/14 - Quoi qu'il en soit, la méthode extraordinaire confirme une perte de gain d'environ 30%. Il n'est ainsi guère contestable que le recourant ne subit pas de diminution de revenus d'au moins 40%.</w:t>
      </w:r>
    </w:p>
    <w:p>
      <w:r>
        <w:rPr>
          <w:b/>
        </w:rPr>
        <w:t>E. 7.4</w:t>
      </w:r>
    </w:p>
    <w:p>
      <w:r>
        <w:t>En résumé, il sied de constater, avec l'intimé, que le recourant présente une incapacité de travail totale dans sa profession et qu'il n'est pas exigible qu'il change d'activité professionnelle. Ainsi, s'il ne travaillait plus ou presque plus, il aurait droit à une rente d'invalidité entière. Toutefois, dans la mesure où il continue à travailler dans son ancien métier, une comparaison des champs d'activités, prenant en compte les tâches encore réalisées, doit être effectuée pour examiner le préjudice économique. Or, cette comparaison aboutit à un résultat inférieur à 40%, ce qui est au demeurant confirmé par la comparaison des gains. Partant, le recourant ne peut prétendre à aucune rente. Cependant, si la perte de gain devait être notablement plus importante à l'avenir, il serait loisible au recourant de demander une révision de la décision de refus de rente.</w:t>
      </w:r>
    </w:p>
    <w:p>
      <w:r>
        <w:rPr>
          <w:b/>
        </w:rPr>
        <w:t>E. 8</w:t>
      </w:r>
    </w:p>
    <w:p>
      <w:r>
        <w:t>Cela étant, le recours sera rejeté.</w:t>
      </w:r>
    </w:p>
    <w:p>
      <w:r>
        <w:rPr>
          <w:b/>
        </w:rPr>
        <w:t>E. 9</w:t>
      </w:r>
    </w:p>
    <w:p>
      <w:r>
        <w:t>La procédure n'étant pas gratuite, un émolument de CHF 200.- sera mis à la charge du recourant qui succombe (art. 69 al.1bis LAI).</w:t>
      </w:r>
    </w:p>
    <w:p>
      <w:r>
        <w:t>A/2045/2022 - 14/14 -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