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ATAS/460/2014 vom 1. April 2014</w:t>
      </w:r>
    </w:p>
    <w:p>
      <w:r>
        <w:t>GE Cour de justice, 2014-04-01, FR</w:t>
      </w:r>
    </w:p>
    <w:p>
      <w:r>
        <w:rPr>
          <w:b/>
        </w:rPr>
        <w:t xml:space="preserve">Quelle: </w:t>
      </w:r>
      <w:r>
        <w:t>https://mcp.opencaselaw.ch/entscheid/ge_gerichte_ATAS_460_2014</w:t>
      </w:r>
    </w:p>
    <w:p>
      <w:r>
        <w:t>FR: GE_GERICHTE ATAS/460/2014 du 1 avril 2014</w:t>
      </w:r>
    </w:p>
    <w:p>
      <w:r>
        <w:t>IT: GE_GERICHTE ATAS/460/2014 del 1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Aux termes des art. 56 al. 1 et 60 al. 1 LPGA, les décisions sur opposition peuvent faire l’objet d’un recours dans les trente jours dès la notification de la décision attaquée. Le recours interjeté par l'assurée le 3 mars 2013 contre la décision sur opposition du 1er novembre 2012, l'a à l'évidence été hors de ce délai de trente jours. Il est dès lors tardif. En vertu de l’art. 16 al. 1 LPA, le délai légal ne peut être prolongé (cf. également art. 40 al. 1 LPGA). Il s'agit-là de dispositions impératives auxquelles il ne peut être dérogé (ATF 119 II 87 ; ATF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Une restitution de délai peut toutefois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Par empêchement non fautif, il faut entendre aussi bien l'impossibilité</w:t>
      </w:r>
    </w:p>
    <w:p>
      <w:r>
        <w:t>A/769/2013 - 5/9 - objective ou la force majeure que l'impossibilité due à des circonstances personnelles ou une erreur excusables. Ces circonstances doivent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En l'occurrence, l'assurée a été invitée à renseigner la Chambre de céans sur d'éventuelles circonstances qui l’auraient empêchée d'agir dans le délai légal de trente jours. Elle a produit un certificat médical attestant de son incapacité à gérer ses affaires administratives et à comprendre ce qui lui était demandé durant la période concernée. Aussi la Chambre de céans considère-t-elle que le recours est recevable.</w:t>
      </w:r>
    </w:p>
    <w:p>
      <w:r>
        <w:rPr>
          <w:b/>
        </w:rPr>
        <w:t>E. 3</w:t>
      </w:r>
    </w:p>
    <w:p>
      <w:r>
        <w:t>Le litige porte sur le montant du gain intermédiaire retenu par la Caisse pour verser à l’assurée l'indemnité compensatoire du mois d’août 2012.</w:t>
      </w:r>
    </w:p>
    <w:p>
      <w:r>
        <w:rPr>
          <w:b/>
        </w:rPr>
        <w:t>E. 4</w:t>
      </w:r>
    </w:p>
    <w:p>
      <w:r>
        <w:t>L'assuré qui prend les vacances auxquelles il a droit en vertu du droit du travail pendant qu'il réalise un gain intermédiaire a droit aux paiements visés à l'art. 41a pendant cette période. Les jours de vacances qu'il a pris pendant qu'il réalisait un</w:t>
      </w:r>
    </w:p>
    <w:p>
      <w:r>
        <w:t>A/769/2013 - 7/9 - gain intermédiaire sont déduits des jours sans contrôle accumulés avant le début des vacances.</w:t>
      </w:r>
    </w:p>
    <w:p>
      <w:r>
        <w:rPr>
          <w:b/>
        </w:rPr>
        <w:t>E. 5</w:t>
      </w:r>
    </w:p>
    <w:p>
      <w:r>
        <w:t>L'assuré qui participe à une mesure relative au marché du travail ne peut toucher pendant cette période que le nombre de jours sans contrôle auxquels il a droit en fonction de la durée totale de la mesure. Les jours sans contrôle ne peuvent être pris qu'avec l'accord du responsable du programme.</w:t>
      </w:r>
    </w:p>
    <w:p>
      <w:r>
        <w:rPr>
          <w:b/>
        </w:rPr>
        <w:t>E. 6</w:t>
      </w:r>
    </w:p>
    <w:p>
      <w:r>
        <w:t>Aussi le recours, manifestement infondé, doit-il être rejeté.</w:t>
      </w:r>
    </w:p>
    <w:p>
      <w:r>
        <w:t>A/769/2013 - 9/9 -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