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ATAS/45/2024 vom 29. Januar 2024</w:t>
      </w:r>
    </w:p>
    <w:p>
      <w:r>
        <w:t>GE Cour de justice, 2024-01-29, FR</w:t>
      </w:r>
    </w:p>
    <w:p>
      <w:r>
        <w:rPr>
          <w:b/>
        </w:rPr>
        <w:t xml:space="preserve">Quelle: </w:t>
      </w:r>
      <w:r>
        <w:t>https://mcp.opencaselaw.ch/entscheid/ge_gerichte_ATAS_45_2024</w:t>
      </w:r>
    </w:p>
    <w:p>
      <w:r>
        <w:t>FR: GE_GERICHTE ATAS/45/2024 du 29 janvier 2024</w:t>
      </w:r>
    </w:p>
    <w:p>
      <w:r>
        <w:t>IT: GE_GERICHTE ATAS/45/2024 del 29 gennaio 2024</w:t>
      </w:r>
    </w:p>
    <w:p>
      <w:pPr>
        <w:pStyle w:val="Heading2"/>
      </w:pPr>
      <w:r>
        <w:t>Erwägungen</w:t>
      </w:r>
    </w:p>
    <w:p>
      <w:r>
        <w:rPr>
          <w:b/>
        </w:rPr>
        <w:t>E. 3</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w:t>
      </w:r>
    </w:p>
    <w:p>
      <w:r>
        <w:t>A/895/2023 - 4/8 - fédérales complémentaires à l’assurance-vieillesse et survivants et à l’assurance- invalidité [LPFC - J 4 20]; art. 43 LPCC).</w:t>
      </w:r>
    </w:p>
    <w:p>
      <w:r>
        <w:rPr>
          <w:b/>
        </w:rPr>
        <w:t>E. 4</w:t>
      </w:r>
    </w:p>
    <w:p>
      <w:r>
        <w:t>Le litige porte sur le calcul du droit aux prestations complémentaires de la recourante pour 2022, plus singulièrement sur la prise en compte de la valeur de rachat de son 3ème pilier en tant que fortune.</w:t>
      </w:r>
    </w:p>
    <w:p>
      <w:r>
        <w:rPr>
          <w:b/>
        </w:rPr>
        <w:t>E. 5.1</w:t>
      </w:r>
    </w:p>
    <w:p>
      <w:r>
        <w:t>Pour ce qui est des PCF, l’art. 9 al. 1 LPC dispose que le montant de la PC annuelle correspond à la part des dépenses reconnues qui excède les revenus déterminants, mais au moins au plus élevé des montants suivants: la réduction des primes la plus élevée prévue par le canton pour les personnes ne bénéficiant ni de PC ni de prestations d’aide sociale (al. 1); 60 % du montant forfaitaire annuel pour l’assurance obligatoire des soins au sens de l’art. 10 al. 3 let. d LPC (let. b).</w:t>
      </w:r>
    </w:p>
    <w:p>
      <w:r>
        <w:rPr>
          <w:b/>
        </w:rPr>
        <w:t>E. 5.2</w:t>
      </w:r>
    </w:p>
    <w:p>
      <w:r>
        <w:t>En vertu de l'art. 11 al. 1 LPC, les revenus déterminants comprennent notamment: deux tiers des ressources en espèces ou en nature provenant de l’exercice d’une activité lucrative, pour autant qu’elles excèdent annuellement CHF 1'000.- pour les personnes seules (let. a);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w:t>
      </w:r>
    </w:p>
    <w:p>
      <w:r>
        <w:rPr>
          <w:b/>
        </w:rPr>
        <w:t>E. 5.3</w:t>
      </w:r>
    </w:p>
    <w:p>
      <w:r>
        <w:t>Par ailleurs, aux termes de l'art. 9a LPC – en vigueur depuis le 1er janvier 2021 –, les personnes dont la fortune nette est inférieure aux seuils suivants ont droit à des PC: CHF 100'000.- pour les personnes seules (let. a); CHF 200'000.- pour les couples (let. b); CHF 50'000.- pour les enfants ayant droit à une rente d’orphelin ou donnant droit à une rente pour enfant de l’AVS ou de l’AI (let. c; al. 1).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que le droit même à des PCF est désormais exclu pour les personnes assurées dont la fortune nette dépasse l'un de ces seuils fixés à l'art. 9a LPC.</w:t>
      </w:r>
    </w:p>
    <w:p>
      <w:r>
        <w:rPr>
          <w:b/>
        </w:rPr>
        <w:t>E. 5.4</w:t>
      </w:r>
    </w:p>
    <w:p>
      <w:r>
        <w:t>La fortune, au sens de l'art. 11 al. 1 let. b et c LPC,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w:t>
      </w:r>
    </w:p>
    <w:p>
      <w:r>
        <w:t>A/895/2023 - 5/8 - Soziale Sicherheit – Sécurité sociale, 3ème éd., 2016, p. 1681 ss, n. 163 s ; Michel VALTERIO, Commentaire de la loi fédérale sur les prestations complémentaires à l’AVS et à l’AI, 2015, n. 43 ad art. 11). Elle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 Les directives de l'office fédéral des assurances sociales concernant les prestations complémentaires à l'AVS et à l'AI (ci-après : DPC) indiquent à ce propos que les capitaux inhérents aux 2ème et 3ème piliers sont à prendre en compte en tant qu’éléments de fortune dès le moment où l'assuré a la possibilité de les retirer (ch. 3443.03).</w:t>
      </w:r>
    </w:p>
    <w:p>
      <w:r>
        <w:rPr>
          <w:b/>
        </w:rPr>
        <w:t>E. 5.5</w:t>
      </w:r>
    </w:p>
    <w:p>
      <w:r>
        <w:t>Concernant la fortune nette au sens des dispositions légales ci-dessus, s'appliquent notamment les règles qui suivent. L'art. 17 al. 1 de l'ordonnance sur les prestations complémentaires à l’assurance- vieillesse, survivants et invalidité du 15 janvier 1971 (OPC-AVS/AI – RS 831.301) – dans sa version en vigueur depuis le 1er janvier 2021 comme les autres articles de cette ordonnance mentionnés ci-après – dispose que la fortune nette est calculée en déduisant les dettes prouvées de la fortune brute. Conformément à l'art. 17a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En cas de dessaisissement d’un immeuble, à titre onéreux ou gratuit, est déterminante la valeur vénale pour savoir s’il y a renonciation à des parts de fortune au sens de l’art. 11 al. 1 let. g aLPC (article en vigueur avant le 1er janvier 2021, depuis lors art. 11a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w:t>
      </w:r>
    </w:p>
    <w:p>
      <w:r>
        <w:rPr>
          <w:b/>
        </w:rPr>
        <w:t>E. 5.6</w:t>
      </w:r>
    </w:p>
    <w:p>
      <w:r>
        <w:t>Pour déterminer le droit d'un assuré à des prestations complémentaires, un élément de fortune ne doit pas être pris en compte aussi longtemps qu'il n'est pas disponible (arrêts du Tribunal fédéral 9C_41/2011 du 16 août 2011 consid. 6.1 ; 8C_516/2008 du 8 décembre 2008 consid. 5.2). Il doit en revanche l'être s'il est</w:t>
      </w:r>
    </w:p>
    <w:p>
      <w:r>
        <w:t>A/895/2023 - 6/8 -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En revanche,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3ème éd. 2016, pp. 1842-1843 n. 161).</w:t>
      </w:r>
    </w:p>
    <w:p>
      <w:r>
        <w:rPr>
          <w:b/>
        </w:rPr>
        <w:t>E. 5.7</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rPr>
          <w:b/>
        </w:rPr>
        <w:t>E. 5.8</w:t>
      </w:r>
    </w:p>
    <w:p>
      <w:r>
        <w:t>Pour la fixation des prestations complémentaires cantonales, sont déterminantes, les rentes, pensions et autres prestations périodiques de l'année civile en cours (art. 9 let. a LPCC), la fortune au 1er janvier de l'année pour laquelle la prestation est demandée (let. b). En cas de modification importante des ressources ou de la fortune du bénéficiaire, la prestation est fixée conformément à la situation nouvelle (al. 3). Pour le surplus, en l'absence d'une révision législative de la LPCC à la suite de la réforme de la LPC entrée en vigueur le 1er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 (ATAS/521/2023 du 29 juin 2023, consid. 12).</w:t>
      </w:r>
    </w:p>
    <w:p>
      <w:r>
        <w:rPr>
          <w:b/>
        </w:rPr>
        <w:t>E. 6</w:t>
      </w:r>
    </w:p>
    <w:p>
      <w:r>
        <w:t>En l’espèce, les conditions générales d’assurances (CGA) relatives au contrat liant la recourante et les Retraites Populaires stipulent que l’objet dudit contrat est d’offrir une rente immédiate certaine payable jusqu’au terme de la durée fixée</w:t>
      </w:r>
    </w:p>
    <w:p>
      <w:r>
        <w:t>A/895/2023 - 7/8 - contractuellement (art. 1.1 CGA). Sur demande écrite, le contrat peut être résilié de manière anticipée, ce qui entraîne le versement d’une prestation unique sous forme de capital et met fin au contrat (art. 10 CGA). Le montant de la prestation unique peut varier chaque mois en fonction de facteurs détaillés aux art. 11 ss CGA. Il ressort de ces éléments que la recourante dispose d’un compte 3ème pilier auprès de l’assureur et qu’elle est libre de se faire verser le capital correspondant en tout temps moyennant résiliation du contrat. Comme l’intimé l’indique à juste titre, le fait que cette résiliation soit potentiellement moins favorable sur la durée que le versement d’une rente n’est pas pertinent en l’espèce et ne saurait suffire à exclure cet avoir des éléments de fortune à prendre en compte dans le calcul du droit aux prestations complémentaires. Il en va de même de l’allégation selon laquelle le montant de la prestation unique serait si bas que le retrait du capital équivaudrait à une sorte de pénalité. La finalité des prestations complémentaires n’est en effet pas de permettre au bénéficiaire d’en tirer profit – en créant de l’épargne - mais, comme cela est précisé à l’art. 2 al. 1 LPC, de couvrir les besoins vitaux des bénéficiaires - prestations complémentaires fédérales - ou, selon l’art. 1 al. 1 LPCC, de bénéficier d'un revenu minimal cantonal d’aide sociale - prestations complémentaires cantonales (ATAS/1004/2022 du 17 novembre 2022, consid. 11.5). Dans ces circonstances, c’est de manière fondée que le compte 3ème pilier a été pris en compte par l’intimé comme un élément de fortune mobilière. Sans que cela ne soit déterminant, il sied de relever que cette qualification est encore confirmée par les attestations successives établies par les Retraites Populaires en vue des déclarations fiscales de la recourante qui précisent que « la valeur en cas de résiliation anticipée du contrat constitue un élément de fortune mobilière » et qui indiquent systématiquement « la valeur à indiquer dans la fortune » à ce titre. Le fait que ce montant ait varié au fil du temps et qu’il soit passé de CHF 170'559.- à CHF 141'498.75 durant l’année 2022 n’est pas déterminant dans la mesure où ce dernier montant demeure largement supérieurs au seuil de CHF 100'000.- de l’art. 9a LPC. Il n’est donc pas nécessaire de déterminer si c’est à juste titre que l’intimé a pris en compte la fortune au 1er janvier 2022 (art. 9 al. 1 let. a LPCC) ou s’il se devait de prendre en compte la diminution importante de celle-ci durant l’année 2022 (art. 9 al. 2 LPCC). Le rejet par l’intimé de la demande de prestations complémentaires de la recourante est donc fondé.</w:t>
      </w:r>
    </w:p>
    <w:p>
      <w:r>
        <w:rPr>
          <w:b/>
        </w:rPr>
        <w:t>E. 7</w:t>
      </w:r>
    </w:p>
    <w:p>
      <w:r>
        <w:t>Compte tenu de ce qui précède, la chambre de céans n’a d’autre choix que de rejeter le recours.</w:t>
      </w:r>
    </w:p>
    <w:p>
      <w:r>
        <w:rPr>
          <w:b/>
        </w:rPr>
        <w:t>E. 8</w:t>
      </w:r>
    </w:p>
    <w:p>
      <w:r>
        <w:t>Pour le surplus, en l’absence de loi spéciale prévoyant des frais judiciaires, la procédure est gratuite (art. 61 let. fbis LPGA).</w:t>
      </w:r>
    </w:p>
    <w:p>
      <w:r>
        <w:t>A/895/2023 - 8/8 -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