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ATAS/45/2020 vom 27. Januar 2020</w:t>
      </w:r>
    </w:p>
    <w:p>
      <w:r>
        <w:t>GE Cour de justice, 2020-01-27, FR</w:t>
      </w:r>
    </w:p>
    <w:p>
      <w:r>
        <w:rPr>
          <w:b/>
        </w:rPr>
        <w:t xml:space="preserve">Quelle: </w:t>
      </w:r>
      <w:r>
        <w:t>https://mcp.opencaselaw.ch/entscheid/ge_gerichte_ATAS_45_2020</w:t>
      </w:r>
    </w:p>
    <w:p>
      <w:r>
        <w:t>FR: GE_GERICHTE ATAS/45/2020 du 27 janvier 2020</w:t>
      </w:r>
    </w:p>
    <w:p>
      <w:r>
        <w:t>IT: GE_GERICHTE ATAS/45/2020 del 27 gennaio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Sur le plan matériel, sont en principe applicables les règles de droit en vigueur au moment où les faits juridiquement déterminants se sont produits (ATF 129 V 1 consid. 1 ; ATF 127 V 467 consid. 1 et les références). Compte tenu de la date de la décision administrative en cause (le 4 juin 2018), qui détermine l'application dans le temps des règles légales au présent litige (ATF 130 V 447 consid. 1.2.1; ATF 127 V 467 consid. 1), il y a lieu de tenir compte de la modification réglementaire relative à l'évaluation de l'invalidité des assurés exerçant une activité lucrative à temps partiel entrée en vigueur le 1er janvier 2018 (arrêt du Tribunal fédéral 9C_858/2017 du 20 février 2018 consid. 2.2). En effet, selon la jurisprudence, lors de l’évaluation de l’invalidité selon la méthode mixte, l’art. 27bis al. 2 à 4 du règlement sur l’assurance-invalidité du 17 janvier 1961 (RAI – RS 831.201) dans sa teneur du 1er décembre 2017 est applicable, eu égard au traitement uniforme et égal des assurés, à partir de l’entrée en vigueur de cette</w:t>
      </w:r>
    </w:p>
    <w:p>
      <w:r>
        <w:t>A/2345/2018 - 19/30 - modification (arrêt du Tribunal fédéral 9C_553/2017 du 18 décembre 2017 consid. 5 et 6.2). Le droit éventuel aux prestations doit être examiné au regard de l'ancien droit pour la période jusqu'au 31 décembre 2017, et, après le 1er janvier 2018 en fonction des modifications susmentionnées (cf. ATAS/435/2019 du 13 mai 2019 consid. 10).</w:t>
      </w:r>
    </w:p>
    <w:p>
      <w:r>
        <w:rPr>
          <w:b/>
        </w:rPr>
        <w:t>E. 5</w:t>
      </w:r>
    </w:p>
    <w:p>
      <w:r>
        <w:t>Le litige porte sur le droit éventuel de la recourante à une rente de l'assurance- invalidité. Il s'agit, singulièrement, de déterminer son statut et donc le choix de la méthode d'évaluation de l'invalidité et, plus particulièrement, le taux auquel elle exercerait une activité professionnelle sans atteinte à la santé.</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w:t>
      </w:r>
    </w:p>
    <w:p>
      <w:r>
        <w:t>A/2345/2018 - 20/30 -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w:t>
      </w:r>
    </w:p>
    <w:p>
      <w:r>
        <w:t>A/2345/2018 - 21/30 -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En l’espèce, il ressort du rapport d’expertise du 12 janvier 2017, établi par le Dr F______ – dont la valeur probante n’est pas contestée par la recourante et n’apparaît pas contestable −, que cette dernière souffre de cervico-dorso-lombalgies aspécifiques chroniques dans le contexte de troubles dégénératifs (soit une discopathie de L2 à S1; une hernie discale L2-L3 foraminale et extraforaminale gauche; une arthrose facettaire L3 à S1; une ostéochondrose de Modic II en L3-L4 et en L5-S1; et une cervicarthrose C5-C6 avec rétrécissement du trou de conjugaison gauche) – les lombalgies intermittentes existaient depuis 2006 −, ainsi qu’une légère épicondylite droite depuis 2014. Selon l’expert, la capacité de travail de la recourante est de 50 % dans son activité habituelle de fleuriste et de 90 % − compte tenu d’une baisse de rendement de 10 % − dans une activité adaptée qui respecte ses limitations fonctionnelles (à savoir éviter le port ou le soulèvement de charges de plus de 5 kg, de même que les mouvements répétitifs de la nuque en flexion/extension et en rotation, alterner les positions debout et assise), ce depuis la date de l’expertise, soit le 10 janvier 2017. Dans son rapport du 9 mars 2017, le Dr D______, médecin traitant, a confirmé ces diagnostics (« les cervico-dorso-lombalgies chroniques sur discopathies étagées et l’épicondylite droite persistaient ») et ajouté celui de tendinopathie de la coiffe de l’épaule droite depuis fin 2016. Il a estimé que la capacité de travail de la recourante est supérieure à 50 % dans une activité adaptée et qu’il est superflu de mettre sur pied un examen médical complémentaire pour déterminer les conséquences de l’atteinte à la santé de la recourante sur sa capacité de travail, puisqu’une expertise avait déjà été réalisée en janvier 2017. Le Dr D______ partage donc les conclusions de l’expert.</w:t>
      </w:r>
    </w:p>
    <w:p>
      <w:r>
        <w:t>A/2345/2018 - 22/30 - La chambre de céans retient par conséquent que la recourante dispose d’une capacité de travail de 50 % dans son activité habituelle de fleuriste et de 90 % dans une activité adaptée respectant ses limitations fonctionnelles, dès le 10 janvier 2017.</w:t>
      </w:r>
    </w:p>
    <w:p>
      <w:r>
        <w:rPr>
          <w:b/>
        </w:rPr>
        <w:t>E. 11</w:t>
      </w:r>
    </w:p>
    <w:p>
      <w:r>
        <w:t>Reste à déterminer le statut de la recourante; la position des parties diverge sur ce point.</w:t>
      </w:r>
    </w:p>
    <w:p>
      <w:r>
        <w:rPr>
          <w:b/>
        </w:rPr>
        <w:t>E. 12</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w:t>
      </w:r>
    </w:p>
    <w:p>
      <w:r>
        <w:rPr>
          <w:b/>
        </w:rPr>
        <w:t>E. 17</w:t>
      </w:r>
    </w:p>
    <w:p>
      <w:r>
        <w:t>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 13. a. En l’espèce, l’intimé considère que la recourante n'aurait exercé qu'une activité partielle à 50 %, ce qui implique le recours à la méthode mixte d'évaluation. Pour sa part, celle-ci soutient qu'elle aurait travaillé à plein temps, sans atteinte à la santé et, partant, se prévaut de l’application de la méthode ordinaire de la comparaison des revenus.</w:t>
      </w:r>
    </w:p>
    <w:p>
      <w:r>
        <w:t>A/2345/2018 - 23/30 - b. La recourante, au bénéficie d’une formation dans le secteur artistique (graphisme), a travaillé dès le 1er janvier 1994 au sein de l’entreprise familiale de son époux, où elle a acquis les compétences du métier de fleuriste, et est devenue au fil du temps fleuriste responsable du magasin. Selon le contrat de travail du</w:t>
      </w:r>
    </w:p>
    <w:p>
      <w:r>
        <w:rPr>
          <w:b/>
        </w:rPr>
        <w:t>E. 20</w:t>
      </w:r>
    </w:p>
    <w:p>
      <w:r>
        <w:t>décembre 1993, son horaire de travail était de 16 heures hebdomadaires. Lors de l’audience de comparution personnelle, elle a déclaré que son taux d’activité variait en fonction des périodes afin de pouvoir s’occuper de ses deux enfants. À compter du 1er janvier 2014, le temps de travail hebdomadaire a augmenté à 25 heures. Compte tenu des revenus soumis à cotisations, ressortant de son compte individuel, qui évoluent progressivement à la hausse entre CHF 19’200.- (en 1994) et CHF 42'000.- (en 2014), étant relevé que l’horaire de travail usuel dans l’entreprise à plein temps est de 42 heures par semaine (cf. questionnaire pour l’employeur du 29 février 2016), force est de constater que la recourante, depuis son engagement, a toujours exercé une activité salariée à temps partiel jusqu'au 19 juillet 2015, date où est survenue une incapacité de travail − consécutive à une chute ayant entraîné une contusion lombaire, dorsale et thoracique − qui s'est achevée le 9 août 2015. Il ressort des pièces médicales que la recourante souffre de lombalgies intermittentes depuis 2006 dans le contexte de troubles dégénératifs. Son médecin traitant a attesté une incapacité de travail de 50 % pour des raisons somatiques (cervicodorsalgies) à partir du 16 octobre 2015 seulement. Or, entre 2009 et 2014, alors que la recourante n’avait subi aucune incapacité de travail, médicalement attestée, et que ses enfants étaient suffisamment autonomes − leur âge oscillait respectivement entre 15/21 ans et 16/22 ans, soit des âges qui ne requéraient pas que leur mère leur consacre tout son temps, permettant ainsi à cette dernière d’augmenter son taux d'activité jusqu'à 100 % −, elle n’a pas travaillé au-delà du temps de travail partiel. Il paraît ainsi hautement vraisemblable qu’elle se contentait d'une activité à temps partiel. En outre, la recourante n'a pas allégué ni établi que les revenus tirés de son activité exercée à temps partiel ne suffisaient pas pour couvrir ses besoins. Elle n’a pas non plus signalé que son ménage a été ou serait confronté à une situation financière difficile la contraignant à augmenter ses revenus. Enfin, les motifs avancés par la recourante dans son recours pour fonder une hypothétique reprise d'activité à temps complet, sans atteinte à la santé, ne permettent pas de lui reconnaître un statut de personne active. Elle explique avoir augmenté son taux de travail à 100 % dès le 1er octobre 2015 en raison du burnout dont son époux a souffert et de la mise en place du nouveau magasin, taux d’activité qu’elle aurait maintenu compte tenu du développement futur de la nouvelle arcade. Certes, le contrat de travail de la recourante a été modifié le 25 septembre 2015 avec effet au 1er octobre 2015, date à compter de laquelle son temps de travail contractuel a passé à 42 heures hebdomadaires, soit un plein-temps. Dans le questionnaire du 29 février 2016, l’employeur (c’est-à-dire l’époux) indique qu’elle</w:t>
      </w:r>
    </w:p>
    <w:p>
      <w:r>
        <w:t>A/2345/2018 - 24/30 - a effectivement travaillé à 100 % du 1er au 15 octobre 2015, soit pendant deux semaines seulement, période durant laquelle elle ne subissait aucune incapacité de travail, médicalement attestée. Il est également vrai qu’AXA Winterthur, assurance- maladie collective de l’employeur, a, suite à l’entretien du 16 septembre 2016 qu’elle a eu avec l’époux, accepté d’augmenter le salaire annuel assuré de la recourante à CHF 78'000.- contre CHF 42'000.- auparavant (cf. les décomptes de prestations des 24 novembre 2015 et 30 octobre 2017). La décision d’AXA Winterthur ne lie cependant pas l’intimé, chargé d’appliquer la loi en matière d’assurance-invalidité. Cela étant, lors de l’enquête économique pour activité professionnelle indépendante le 23 février 2018, qui a eu lieu après l’ouverture de la nouvelle arcade en août- septembre 2017, la recourante a déclaré avoir augmenté son temps de travail à plein temps dès le 1er octobre 2015 en raison de l’incapacité de travail de son époux. Elle n’a évoqué ni la rénovation ni le développement futur de la nouvelle arcade comme motifs d’augmentation de son taux d’activité (contractuel) ; ceux-ci n’ont été invoqués qu'au stade du recours, de sorte qu'il convient de s'en tenir à ses premières déclarations à ce sujet (cf. ATF 121 V 45 consid. 2a). Du reste, à l’occasion de l’entretien du 16 septembre 2016 avec AXA Winterthur, l’époux avait également affirmé que c’était en raison de son burnout que son épouse avait repris l’activité de gestion au magasin à plein temps pour lui permettre de se remettre de sa maladie. C’est dire qu’à défaut d’atteinte à la santé de l’époux, le couple n’aurait pas envisagé une modification du contrat de travail de la recourante le 25 septembre 2015, date à compter de laquelle celui-là a effectivement présenté une capacité de travail nulle jusqu’au 31 janvier 2016 suite à un état anxio-dépressif. Toutefois, la capacité de travail de l’époux a été de 70 % dès le 1er février 2016, puis totale à partir du 1er avril 2016 (cf. rapport du Dr H______ du 24 octobre 2016), soit bien avant le moment déterminant du prononcé de la décision litigieuse le 4 juin 2018. En d’autres termes, à ce moment, le motif ayant conduit à l’augmentation du taux d’activité de la recourante avait disparu. De toute manière, il est peu vraisemblable que la mise en place du nouveau magasin ait nécessité la collaboration continue de la recourante à 100 %. Les activités que cette dernière effectue au sein de l’entreprise de son mari sont d’ordre artistique et non administratif (cf. procès-verbal de comparution des parties du 11 février 2019). Elle n’exerce aucune fonction dirigeante (cf. rapport d’enquête économique du 2 mars 2018). Dans son recours, elle explique que, dans le cadre de la transition avec la nouvelle arcade, elle devait se charger de l’aménagement intérieur, de la décoration, du développement du nouveau concept avec notamment le choix du gérant pour le lounge café, de la création du logo, de la couverture médiatique et publicitaire ainsi que du déménagement de l’atelier à l’arcade. Or, ces activités, qui entrent dans le domaine de compétence artistique de la recourante, sont par essence temporaires, puisqu’elles précédaient l’ouverture de la nouvelle arcade. Si, on ne peut exclure qu’en vue de l’aménagement de cette arcade, la</w:t>
      </w:r>
    </w:p>
    <w:p>
      <w:r>
        <w:t>A/2345/2018 - 25/30 - recourante a pu collaborer au-delà de son horaire de travail habituel, en revanche, une fois que les nouveaux locaux ont été décorés, le gérant choisi, le logo créé, l’atelier déménagé et la publicité réalisée, l’arcade était prête à être exploitée et ces travaux-ci n’étaient plus nécessaires (hormis peut-être la publicité qui à elle seule ne requiert pas un plein-temps). Enfin, l’affirmation, selon laquelle l’augmentation du temps de travail de la recourante sur le long terme était justifiée par le fait que le développement de la nouvelle arcade allait générer, ce qu’espérait le couple, un accroissement du chiffre d’affaires, n’est pas convaincante, car spéculative. En effet, dans la mesure où cette dernière a toujours travaillé à temps partiel (excepté pendant une très brève période du 1er au 16 octobre 2015) et souffre, sur le plan subjectif, de douleurs au dos qui remontent à une date antérieure aux années 2009- 2015, période durant laquelle les époux ont eu l’idée de créer un nouveau concept (comprenant un lounge café) dans de nouveaux locaux, il est invraisemblable qu’ils aient envisagé durant ces années-ci que l’état de santé de la recourante lui aurait permis de travailler ultérieurement à plein temps dans l’éventualité d’une hausse de la clientèle. De surcroît, lors du prononcé de la décision litigieuse en juin 2018, il était encore trop tôt pour constater si le chiffre d’affaires était majoré − auquel cas la recourante aurait le cas échéant collaboré davantage −, puisque la nouvelle arcade n’était ouverte que depuis août-septembre 2017 ; la durée de ce commerce était donc inférieure à une année. c. De ces éléments, on déduit que la recourante doit être considérée, selon le degré de vraisemblance prépondérante, comme une personne qui, sans atteinte à la santé, aurait exercé une activité lucrative à temps partiel au moment où la décision litigieuse a été rendue. En ce qui concerne la pondération de la sphère professionnelle et des travaux ménagers, la recourante, sous la plume de son conseil, soutient, à titre subsidiaire, qu’elle devrait être de 60 %, respectivement de 40 %, sans en expliquer les motifs. Son raisonnement découle sans doute de la modification du contrat de travail du</w:t>
      </w:r>
    </w:p>
    <w:p>
      <w:r>
        <w:rPr>
          <w:b/>
        </w:rPr>
        <w:t>E. 22</w:t>
      </w:r>
    </w:p>
    <w:p>
      <w:r>
        <w:t>La recourante obtenant très partiellement gain de cause, une indemnité lui sera accordée à titre de participation à ses frais et dépens (art. 61 let. g LPGA; art. 6 du règlement sur les frais, émoluments et indemnités en matière administrative du 30 juillet 1986 [RFPA - E 5 10.03]), arrêtée en l’espèce à CHF 500.-. Étant donné que, depuis le 1er juillet 2006, la procédure n'est plus gratuite (art. 69 al. 1bis LAI), au vu du sort du recours, il y a lieu de condamner l'intimé au paiement d'un émolument, arrêté en l’espèce à CHF 200.-.</w:t>
      </w:r>
    </w:p>
    <w:p>
      <w:r>
        <w:t>A/2345/2018 - 30/30 -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