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ATAS/45/2019 vom 22. Januar 2019</w:t>
      </w:r>
    </w:p>
    <w:p>
      <w:r>
        <w:t>GE Cour de justice, 2019-01-22, FR</w:t>
      </w:r>
    </w:p>
    <w:p>
      <w:r>
        <w:rPr>
          <w:b/>
        </w:rPr>
        <w:t xml:space="preserve">Quelle: </w:t>
      </w:r>
      <w:r>
        <w:t>https://mcp.opencaselaw.ch/entscheid/ge_gerichte_ATAS_45_2019</w:t>
      </w:r>
    </w:p>
    <w:p>
      <w:r>
        <w:t>FR: GE_GERICHTE ATAS/45/2019 du 22 janvier 2019</w:t>
      </w:r>
    </w:p>
    <w:p>
      <w:r>
        <w:t>IT: GE_GERICHTE ATAS/45/2019 del 22 gennaio 2019</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(art. 60 LPGA). Il satisfait aux exigences, peu élevées, de forme et de contenu prescrites par la loi (art. 61 let. b LPGA ; cf. aussi art. 89B de la loi sur la procédure administrative du 12 septembre 1985 - LPA - E 5 10). Le recourant a qualité pour recourir, étant touché par la décision attaquée et ayant un intérêt digne de protection à son annulation ou sa modification (art. 59 LPGA).</w:t>
      </w:r>
    </w:p>
    <w:p>
      <w:r>
        <w:t>A/1964/2018 - 6/11 - Le recours est donc recevable.</w:t>
      </w:r>
    </w:p>
    <w:p>
      <w:r>
        <w:rPr>
          <w:b/>
        </w:rPr>
        <w:t>E. 2</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Au nombre des devoirs qu’impose l’art. 17 LACI au chômeur au titre de l’obligation d’entreprendre tout ce qu’on peut raisonnablement exiger de lui pour abréger le chômage, figure l’obligation de donner suite à une assignation de poser sa candidature pour un emploi vacant qui lui est ainsi signalé. Ne pas donner suite à une telle assignation représente une violation de l’obligation de diminuer le dommage ;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w:t>
      </w:r>
    </w:p>
    <w:p>
      <w:r>
        <w:t>A/1964/2018 - 7/11 - violation d’une obligation qui, à l’instar de celle d’accepter un travail convenable, revêt une importance indéniable (arrêt du Tribunal fédéral des assurances U 368/99 du 16 mars 2000 ; ATAS/344/2017 du 2 mai 2017 consid. 5).</w:t>
      </w:r>
    </w:p>
    <w:p>
      <w:r>
        <w:rPr>
          <w:b/>
        </w:rPr>
        <w:t>E. 3</w:t>
      </w:r>
    </w:p>
    <w:p>
      <w:r>
        <w:t>a. La violation des obligations précitée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b.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c.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w:t>
      </w:r>
    </w:p>
    <w:p>
      <w:r>
        <w:t>A/1964/2018 - 8/11 -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Il n’est en particulier pas nécessaire qu’un assuré ait été renseigné au sujet de son obligation d’accepter un emploi convenable pour qu’une sanction puisse être prononcée en cas de refus d’emploi (Boris RUBIN, op. cit., n. 11 ad art. 16, n. 63 ad art. 30). d. Comme mentionné ci-dessus, la réitération de violations des devoirs précités incombant au chômeur peut entraîner le prononcé de l’inaptitude au placement, en tant qu’elle démontre que l’intéressé n’est en réalité pas disposé à accepter un travail convenable, ainsi qu’il y est tenu (art. 15 et 16 LACI), autrement dit ne remplit pas l’une des composantes, subjective, de l’aptitude au placement, s’ajoutant à la composante, objective quant à elle, de la faculté d’exercer une activité lucrative salariée sans en être empêché par des causes inhérentes à sa personne (Boris RUBIN, op. cit., n. 14 ss ad art. 15). L’aptitude au placement peut être déniée notamment en cas de recherches d’emploi continuellement insuffisantes, en cas de refus réitérés d’accepter un travail convenable, ou encore lorsque l’assuré limite ses recherches à un domaine d’activité dans lequel il n’a, concrètement, qu’une très faible chance de trouver un emploi (ATF 112 V 215 consid. 1a ; Boris RUBIN, op. cit., n. 14 in fine ad art. 15). D’après le ch. 323 du Bulletin LACI IC, des recherches d'emploi continuellement insuffisantes peuvent refléter une éventuelle inaptitude au placement ; il ne faut cependant pas conclure à une inaptitude au placement sur la seule base de recherches d'emploi insuffisantes ; il faut en effet qu'il y ait circonstances qualifiées. Un tel cas se présente lorsqu'un assuré ayant subi plusieurs sanctions persiste à ne pas rechercher un emploi. Si l'on constate en revanche que l'assuré déploie tous ses efforts pour retrouver du travail, l'aptitude au placement ne sera pas niée. Le principe de la proportionnalité commande de ne prononcer d’inaptitude au placement en raison de manquements aux devoirs d’un assuré que lorsque plusieurs sanctions ont déjà été prises au préalable à son encontre, pour des fautes non seulement légères mais également moyennes et aussi en principe grave (arrêt du Tribunal fédéral C 226/06 du 23 octobre 2007 consid. 4.2.1 ; Boris RUBIN, op. cit. n. 124 ad art. 30).</w:t>
      </w:r>
    </w:p>
    <w:p>
      <w:r>
        <w:rPr>
          <w:b/>
        </w:rPr>
        <w:t>E. 4</w:t>
      </w:r>
    </w:p>
    <w:p>
      <w:r>
        <w:t>La quotité de la suspension du droit à l'indemnité de chômage dans un cas concret ou la décision le cas échéant de nier l’aptitude au placement pour manquements</w:t>
      </w:r>
    </w:p>
    <w:p>
      <w:r>
        <w:t>A/1964/2018 - 9/11 - réitérés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5</w:t>
      </w:r>
    </w:p>
    <w:p>
      <w:r>
        <w:t>a. En l’espèce, il appert qu’en l’espace de quelques mois, le recourant a multiplié les manquements à ses devoirs de chômeur et que ces manquements ont eu une gravité qui est allée croissante. À deux remises tardives du formulaire RPE (la première fois le 7 novembre au lieu du 5 au plus tard, mais la seconde le 21 décembre au lieu du 5 au plus tard) ont succédé deux absences sans motif valable à des entretiens de conseil (respectivement les 15 et 26 janvier 2018), puis il n’a pas effectué de recherches personnelles d’emploi en janvier 2018 (l’intimé a fait mention à tort à cet égard à décembre 2017) et il a encore omis de donner suite à temps à une assignation à un emploi vacant (soit le 27 février au lieu du 8 au plus tard). Il est vrai que les quatre premières suspensions du droit à l’indemnité de chômage prononcées contre le recourant l’ont toutes été pour des durées s’inscrivant entre 1</w:t>
      </w:r>
    </w:p>
    <w:p>
      <w:r>
        <w:t>A/1964/2018 - 10/11 - et 15 jours, soit pour des durées qui, à teneur de l’art. 45 al. 3 let. a OACI, sanctionnent des manquement constitutifs de fautes légères. b. L’absence de toute recherche personnelle d’emploi en janvier 2018 a représenté un manquement plus grave, et le défaut de suite donnée à temps à une assignation à un emploi vacant a constitué un manquement d’une plus grande gravité encore, puisqu’une telle omission est en règle générale assimilée à un refus d’un emploi convenable, qui, lui, est en principe réputé procéder d’une faute grave (art. 45 al. 4 let. b OACI) et, à ce titre, est en principe passible à lui seul d’une suspension de 31 à 60 jours (art. 45 al. 3 let. c OACI). c. Pour fixer la sanction de ces deux nouveaux manquements, l’intimé devait tenir compte des antécédents du recourant, à savoir des quatre suspensions prononcées à son encontre pour les manquements précités, en principe pour prolonger en conséquence la durée de la suspension à prononcer (art. 45 al. 5 OACI). L’intimé était cependant aussi légitimé à prendre par ailleurs en compte le fait que, dès février 2018, il a enfreint systématiquement son devoir de répartir ses recherches personnelles d’emploi sur l’ensemble du mois, alors que son attention avait été explicitement attirée, lors de l’entretien de conseil du 21 décembre 2017, sur l’exigence de répartir ses (au minimum) dix recherches personnelles d’emploi mensuelles sur l’ensemble du mois et qu’au demeurant elle ne pouvait lui être inconnue du fait qu’elle figurait déjà sur le plan d’actions qu’il avait signé le 2 octobre 2017, puis d’ailleurs une nouvelle fois le 15 mars 2018 (ATAS/187/2018 et ATAS/188/2018 du 6 mars 2018 consid. 3 et 4b in fine ; ATAS/681/2’17 du 15 août 2017 consid. 11 a contrario). d. La démotivation alléguée par le recourant ne saurait justifier son absence de recherches personnelles d’emploi en janvier 2018, ni son omission de donner suite à l’assignation à un emploi en février 2018, pas davantage que la concentration de ses recherches d’emploi sur de très courtes périodes dès février 2018 (concentration commandant au surplus de mettre en doute le sérieux de ces postulations). e. Au vu de la réitération des manquements imputables au recourant et de leur gravité croissante, ainsi qu’au vu de la gravité des deux nouveaux manquements considérés et au surplus de ladite concentration de recherches sur quelques jours, l’intimé n’a pas mésusé de son pouvoir d’appréciation ni enfreint le principe de la proportionnalité en en tirant la conséquence que le recourant n’était en réalité pas apte au placement, et ce dès janvier 2018.</w:t>
      </w:r>
    </w:p>
    <w:p>
      <w:r>
        <w:rPr>
          <w:b/>
        </w:rPr>
        <w:t>E. 6</w:t>
      </w:r>
    </w:p>
    <w:p>
      <w:r>
        <w:t>Mal fondé, le recours doit être rejeté.</w:t>
      </w:r>
    </w:p>
    <w:p>
      <w:r>
        <w:rPr>
          <w:b/>
        </w:rPr>
        <w:t>E. 7</w:t>
      </w:r>
    </w:p>
    <w:p>
      <w:r>
        <w:t>La procédure est gratuite (art. 61 let. a LPGA). * * * * * *</w:t>
      </w:r>
    </w:p>
    <w:p>
      <w:r>
        <w:t>A/1964/2018 - 11/11 -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