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ATAS/45/2012 vom 24. Januar 2012</w:t>
      </w:r>
    </w:p>
    <w:p>
      <w:r>
        <w:t>GE Cour de justice, 2012-01-24, FR</w:t>
      </w:r>
    </w:p>
    <w:p>
      <w:r>
        <w:rPr>
          <w:b/>
        </w:rPr>
        <w:t xml:space="preserve">Quelle: </w:t>
      </w:r>
      <w:r>
        <w:t>https://mcp.opencaselaw.ch/entscheid/ge_gerichte_ATAS_45_2012</w:t>
      </w:r>
    </w:p>
    <w:p>
      <w:r>
        <w:t>FR: GE_GERICHTE ATAS/45/2012 du 24 janvier 2012</w:t>
      </w:r>
    </w:p>
    <w:p>
      <w:r>
        <w:t>IT: GE_GERICHTE ATAS/45/2012 del 24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et 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A/2157/2011 - 6/10 - s'applique sans réserve dès le jour de son entrée en vigueur (ATF 117 V 93, consid. 6b, ATF 112 V 360, consid. 4a; RAMA 1998 KV 37 p. 316 consid. 3b). En l'espèce, d'après les pièces versées au dossier, les faits pertinents remontent à l’année 2009. Par conséquent, du point de vue matériel, le droit éventuel aux prestations doit être examiné au regard des nouvelles normes de la LPGA et des modifications de la LAI, dans la mesure de leur pertinence (ATF 130 V 445 et les références; ATF 130 V 329). Cette novelle n'a toutefois pas amené de changements majeurs en matière de conditions d'octroi générales des mesures de réadaptation (cf. Message concernant la modification de la loi fédérale sur l'assurance-invalidité [5ème révision] du 22 juin 2005, FF 2005 4215, p. 4316).</w:t>
      </w:r>
    </w:p>
    <w:p>
      <w:r>
        <w:rPr>
          <w:b/>
        </w:rPr>
        <w:t>E. 3</w:t>
      </w:r>
    </w:p>
    <w:p>
      <w:r>
        <w:t>Le délai de recours est de 30 jours (art. 60 al. 1 LPGA). Interjeté le 13 juillet 2011 contre une décision du 14 juin 2011, le recours l'a été dans la forme et le délai prévus par la loi. Il est recevable, en vertu des art. 56ss LPGA.</w:t>
      </w:r>
    </w:p>
    <w:p>
      <w:r>
        <w:rPr>
          <w:b/>
        </w:rPr>
        <w:t>E. 4</w:t>
      </w:r>
    </w:p>
    <w:p>
      <w:r>
        <w:t>Le litige porte sur le droit de la recourante à une rente entière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trois-quarts de rente s'il est invalide à 60% au moins, à une demi- rente s’il est invalide à 50% au moins, ou à un quart de rente s’il est invalide à 40% au moins.</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w:t>
      </w:r>
    </w:p>
    <w:p>
      <w:r>
        <w:t>A/2157/2011 - 7/10 -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A/2157/2011 - 8/10 - donné l'importance conférée aux rapports médicaux dans le droit des assurances sociales, il y a lieu toutefois de poser des exigences sévères quant à l'impartialité de l'expert (ATF 125 V 351 consid. 3b/ee).</w:t>
      </w:r>
    </w:p>
    <w:p>
      <w:r>
        <w:rPr>
          <w:b/>
        </w:rPr>
        <w:t>E. 9</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figurent au dossier deux examens cliniques psychiatriques réalisés par le médecin du SMR les 21 octobre 2009 et 28 janvier 2011 ainsi qu'un avis du médecin traitant de la recourante du 12 juillet 2011. Le médecin de l'assureur, dans ses rapports, a posé une anamnèse détaillée, il a pris en compte les plaintes de la recourante et a posé des diagnostics qu'il a clairement expliqués. Il a défini la nature des symptômes dépressifs - humeur dépressive, diminution de l'intérêt et du plaisir, augmentation de la fatigabilité, diminution de l'estime et de la confiance en soi, idées de culpabilité et de dévalorisation et perturbation du sommeil - de façon convaincante. Ses conclusions sont motivées, dépourvues de contradictions et la capacité résiduelle de travail est établie en relation avec les limitations fonctionnelles constatées. Partant, l'avis du SMR répond à tous les réquisits pour lui voir attribuer pleine valeur probante. Quant au Dr N__________, il retient, comme le SMR, un trouble dépressif ainsi qu'un trouble de la personnalité. Il a plus particulièrement estimé que si, en février 2011, l'état dépressif était sévère, il était devenu moyen à léger au plus tard en septembre 2011 et que le syndrome de Diogène - en lien avec l'intensité du trouble dépressif - avait totalement disparu. Il apparaît dès lors que le praticien - qui reconnaît également que sa patiente dispose d'une capacité résiduelle de travail de 50% - s'est simplement livré à une appréciation différente du cas de la recourante, plus favorable, sans expliquer véritablement en quoi il estimait la capacité de travail de cette dernière nulle de février à septembre 2011. Il n'explique pas non plus les raisons qui le poussent à considérer que sa patiente devrait travailler uniquement en</w:t>
      </w:r>
    </w:p>
    <w:p>
      <w:r>
        <w:t>A/2157/2011 - 9/10 - milieu protégé. Or, il a confirmé les limitations fonctionnelles telles que retenues par le SMR. Il s'ensuit que la Cour de céans est d'avis que le Dr N__________ n'a amené aucun élément objectif permettant de mettre en cause les conclusions du SMR.</w:t>
      </w:r>
    </w:p>
    <w:p>
      <w:r>
        <w:rPr>
          <w:b/>
        </w:rPr>
        <w:t>E. 12</w:t>
      </w:r>
    </w:p>
    <w:p>
      <w:r>
        <w:t>Force est de constater que rien ne permet de jeter le doute sur les conclusions du SMR. Il y a ainsi lieu de retenir que, dans son activité habituelle ou dans toute autre activité, la recourante dispose d'une capacité résiduelle de travail de 50% depuis le 1er octobre 2009, date à laquelle son état de santé a pu être constaté médicalement, vu l'absence de tout document psychiatrique antérieur.</w:t>
      </w:r>
    </w:p>
    <w:p>
      <w:r>
        <w:rPr>
          <w:b/>
        </w:rPr>
        <w:t>E. 13</w:t>
      </w:r>
    </w:p>
    <w:p>
      <w:r>
        <w:t>La Cour de céans constate qu'en sus d'une demi rente, l'intimé a reconnu que la recourante pourrait être mise au bénéfice d'une mesure d'aide au placement (art. 18 al. 1 LAI). En l'occurrence, il apparaît que la recourante, qui souffre notamment d'un état dépressif d'intensité moyenne avec syndrome somatique et d'un trouble mixte de la personnalité, n'a pas repris d'activité lucrative depuis de nombreuses années. Malgré sa volonté exprimée de réintégrer le milieu professionnel, sa perte de confiance en elle et la manifestation d'idées de dévalorisation ont été constatées tant par le médecin du SMR que par son médecin traitant. Dans ces conditions, l'aide au placement telle que suggérée par l'intimé semble être une mesure appropriée pour que la recourante mette à profit sa capacité résiduelle de travail.</w:t>
      </w:r>
    </w:p>
    <w:p>
      <w:r>
        <w:rPr>
          <w:b/>
        </w:rPr>
        <w:t>E. 14</w:t>
      </w:r>
    </w:p>
    <w:p>
      <w:r>
        <w:t>Il s'ensuit que la Cour de céans prend acte de la proposition de l'intimé d'octroyer une aide au placement à la recourante et lui renvoie la cause pour mise en œuvre de dite mesure.</w:t>
      </w:r>
    </w:p>
    <w:p>
      <w:r>
        <w:rPr>
          <w:b/>
        </w:rPr>
        <w:t>E. 15</w:t>
      </w:r>
    </w:p>
    <w:p>
      <w:r>
        <w:t>Au vu de ce qui précède, le recours sera rejeté.</w:t>
      </w:r>
    </w:p>
    <w:p>
      <w:r>
        <w:rPr>
          <w:b/>
        </w:rPr>
        <w:t>E. 16</w:t>
      </w:r>
    </w:p>
    <w:p>
      <w:r>
        <w:t>La recourante, qui succombe, supporte un émolument de 200 fr. (art. 69 al. 1bis LAI).</w:t>
      </w:r>
    </w:p>
    <w:p>
      <w:r>
        <w:t>A/2157/2011 - 10/10 -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