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ATAS/459/2024 vom 13. Juni 2024</w:t>
      </w:r>
    </w:p>
    <w:p>
      <w:r>
        <w:t>GE Cour de justice, 2024-06-13, FR</w:t>
      </w:r>
    </w:p>
    <w:p>
      <w:r>
        <w:rPr>
          <w:b/>
        </w:rPr>
        <w:t xml:space="preserve">Quelle: </w:t>
      </w:r>
      <w:r>
        <w:t>https://mcp.opencaselaw.ch/entscheid/ge_gerichte_ATAS_459_2024</w:t>
      </w:r>
    </w:p>
    <w:p>
      <w:r>
        <w:t>FR: GE_GERICHTE ATAS/459/2024 du 13 juin 2024</w:t>
      </w:r>
    </w:p>
    <w:p>
      <w:r>
        <w:t>IT: GE_GERICHTE ATAS/459/2024 del 13 giugno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t>A/2732/2023 - 5/9 -</w:t>
      </w:r>
    </w:p>
    <w:p>
      <w:r>
        <w:rPr>
          <w:b/>
        </w:rPr>
        <w:t>E. 2</w:t>
      </w:r>
    </w:p>
    <w:p>
      <w:r>
        <w:t>Le litige porte sur le rejet par l’intimé de la demande de l’employeur de remise de l’obligation de restituer le montant de l’AIT.</w:t>
      </w:r>
    </w:p>
    <w:p>
      <w:r>
        <w:rPr>
          <w:b/>
        </w:rPr>
        <w:t>E. 3.1</w:t>
      </w:r>
    </w:p>
    <w:p>
      <w:r>
        <w:t>Selon l’art. 59 al. 1 et 1bis LACI, l’assurance alloue des prestations financières au titre des mesures relatives au marché du travail (MMT) en faveur des assurés et des personnes menacées de chômage. Ces mesures comprennent des mesures de formation (section 2), des mesures d’emploi (section 3) et des mesures spécifiques (section 4). Ainsi, selon l'art. 65 LACI, les assurés dont le placement est difficile et qui, accomplissant une initiation au travail dans une entreprise, reçoivent de ce fait un salaire réduit, peuvent bénéficier d’allocations d’initiation au travail à certaines conditions. Les AIT couvrent la différence entre le salaire effectif et le salaire normal auquel l'assuré peut prétendre au terme de sa mise au courant, compte tenu de sa capacité de travail, mais tout au plus 60% du salaire normal (art. 66 al. 1 LACI). Bien que les assurés soient eux-mêmes titulaires du droit aux AIT, celles-ci sont versées par la caisse à l’employeur et ce dernier les verse à son tour à l’assuré avec le salaire.</w:t>
      </w:r>
    </w:p>
    <w:p>
      <w:r>
        <w:rPr>
          <w:b/>
        </w:rPr>
        <w:t>E. 3.2</w:t>
      </w:r>
    </w:p>
    <w:p>
      <w:r>
        <w:t>L’art. 95 al. 1 LACI prévoit que la demande de restitution est régie par l’art. 25 LPGA, sous réserve de cas particuliers – non pertinents en l’espèce. Ainsi, la restitution de prestations suppose, en règle ordinaire, que soient remplies les conditions relatives à la révocation des décisions (révision procédurale [art. 53 al. 1 LPGA] ou reconsidération [art. 53 al. 2 LPGA]). Tel n’est cependant pas le cas lorsque l’octroi des AIT est soumis à la condition du respect du contrat de travail. Dans cette hypothèse, il s’agit d’une réserve de révocation qui a explicitement pour effet qu’en cas de violation des obligations contractuelles par l’employeur, notamment la durée minimale de l’engagement de l’assuré – sous réserve d’une résiliation pour justes motifs –, les conditions du droit aux AIT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 chômage. En outre, une remise de l’obligation de restituer selon l’art. 25 al. 1, 2ème phrase LPGA est exclue, car le débiteur doit s’attendre à devoir rembourser les prestations en cas de non-respect des conditions fixées, ce qui ne lui permet pas d’invoquer sa bonne foi (ATF 126 V 45 consid. 2a et la référence ; Boris RUBIN, Assurance-chômage et service public de l’emploi, 2019, p. 171, n. 840).</w:t>
      </w:r>
    </w:p>
    <w:p>
      <w:r>
        <w:rPr>
          <w:b/>
        </w:rPr>
        <w:t>E. 3.3</w:t>
      </w:r>
    </w:p>
    <w:p>
      <w:r>
        <w:t>Aux termes de l'art. 5 al. 3 de la Constitution fédérale de la Confédération suisse du 18 avril 1999 (Cst - RS 101), les organes de l'État et les particuliers doivent agir de manière conforme aux règles de la bonne foi. Cela implique</w:t>
      </w:r>
    </w:p>
    <w:p>
      <w:r>
        <w:t>A/2732/2023 - 6/9 - notamment qu'ils s'abstiennent d'adopter un comportement contradictoire ou abusif (ATF 136 I 254 consid. 5.3 p. 261 et les arrêts cités). De ce principe général découle notamment le droit fondamental du particulier à la protection de sa bonne foi dans ses relations avec l'État, consacré à l'art. 9 in fine Cst. (ATF 138 I 49 consid. 8.3.1 p. 53 et les arrêts cités).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137 I 69 consid. 2.5.1 p. 73).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Pour cela, les conditions cumulatives suivantes doivent être réunies : a. il faut que l’autorité soit intervenue dans une situation concrète à l’égard de personnes déterminées ; b. qu’elle ait agi ou soit censée avoir agi dans les limites de sa compétence ; c. que l’administré n’ait pu se rendre compte immédiatement de l’inexactitude du renseignement obtenu ; d. qu’il se soit fondé sur celui-ci pour prendre des dispositions qu’il ne saurait modifier sans subir un préjudice ; e. que la loi n’ait pas changé depuis le moment où le renseignement a été donné (ATF 121 V 66 consid. 2a et les références).</w:t>
      </w:r>
    </w:p>
    <w:p>
      <w:r>
        <w:rPr>
          <w:b/>
        </w:rPr>
        <w:t>E. 3.4</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w:t>
      </w:r>
    </w:p>
    <w:p>
      <w:r>
        <w:t>A/2732/2023 - 7/9 -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dont les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4</w:t>
      </w:r>
    </w:p>
    <w:p>
      <w:r>
        <w:t>En l’espèce, il n’est pas contesté que l’employeur a résilié le contrat de travail sans justes motifs et ce, avant l’échéance de la mesure. La question du principe de la restitution ayant déjà fait l’objet de décisions entrées en force, seule se pose celle de la remise de l’obligation de restituer les montants versés au titre de l’AIT. Le recourant proteste de sa bonne foi et explique qu’il aurait reçu l’aval du service de l’AIT pour résilier le contrat de travail sans que cela ne porte à conséquences. L’obligation de restituer les AIT en cas de résiliation du contrat avant la fin de la mesure étant expressément rappelée au chiffre 6 de la demande d’AIT, dûment signée par l’employeur, ce dernier ne saurait exciper de sa bonne foi pour demander la remise de l’obligation de restituer, ainsi que cela ressort de la jurisprudence rappelée supra. En effet, l’employeur était dument averti des conséquences d’une résiliation du contrat de travail en cours de mesure. Cela étant, le recourant invoque également, implicitement, le principe de la confiance en alléguant qu’on lui aurait assuré qu’il pouvait, au vu des circonstances, résilier le contrat de travail sans avoir à rembourser les montants versés au titre de l’AIT. A l’appui de ses allégations, l’employeur s’est référé à plusieurs reprises au courriel qu’il a adressé le 26 mai 2021 – soit quelques jours avant la résiliation du contrat de travail du 9 juin 2021 - au service de l’AIT (ait@etat.ge.ch). Dans ce courriel, il indiquait qu’il souhaitait mettre un terme au contrat de travail de l’assurée, au motif que celle-ci ne semblait plus motivée et que son absentéisme chronique posait problème. Cela étant, il n’apparaît pas que l’employeur aurait reçu une réponse écrite à ce courriel. Il ne l’allègue au demeurant pas.</w:t>
      </w:r>
    </w:p>
    <w:p>
      <w:r>
        <w:t>A/2732/2023 - 8/9 - On peut déplorer que, dûment informé des intentions de l’employeur avant que ce dernier ne résilie le contrat, le service de l’AIT ne lui ait pas répondu par écrit. Cela étant, cela ne saurait être considéré comme un défaut de renseignement, assimilable à une déclaration erronée pouvant, sous certaines conditions, obliger l'autorité à consentir à un administré un avantage auquel il n'aurait pu prétendre, en vertu du principe de la protection de la bonne foi découlant de l'art. 9 Cst. (ATF 131 V 472 consid. 5). En effet, de l’absence de réponse du service de l’AIT, l’employeur ne pouvait inférer qu’il échapperait aux conséquences d’une résiliation anticipée dûment rappelées non seulement dans la demande d’AIT qu’il a signée, mais également dans la décision d’octroi de celle-ci. Quant aux assurances que l’employeur allègue avoir reçues oralement par la suite, force est de constater que rien ne vient étayer leur existence et leur contenu exact. Or, dans la mesure où le fardeau de la preuve incombe au recourant, il supporte les conséquences de l’absence d’éléments venant corroborer ses dires. Eu égard aux considérations qui précèdent, le recours ne peut qu’être rejeté.</w:t>
      </w:r>
    </w:p>
    <w:p>
      <w:r>
        <w:t>***</w:t>
      </w:r>
    </w:p>
    <w:p>
      <w:r>
        <w:t>A/2732/2023 - 9/9 -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