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ATAS/459/2022 vom 20. Mai 2022</w:t>
      </w:r>
    </w:p>
    <w:p>
      <w:r>
        <w:t>GE Cour de justice, 2022-05-20, FR</w:t>
      </w:r>
    </w:p>
    <w:p>
      <w:r>
        <w:rPr>
          <w:b/>
        </w:rPr>
        <w:t xml:space="preserve">Quelle: </w:t>
      </w:r>
      <w:r>
        <w:t>https://mcp.opencaselaw.ch/entscheid/ge_gerichte_ATAS_459_2022</w:t>
      </w:r>
    </w:p>
    <w:p>
      <w:r>
        <w:t>FR: GE_GERICHTE ATAS/459/2022 du 20 mai 2022</w:t>
      </w:r>
    </w:p>
    <w:p>
      <w:r>
        <w:t>IT: GE_GERICHTE ATAS/459/2022 del 20 maggio 2022</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LCA. b. Aux termes de l’art. 46a LCA, les assureurs doivent s'acquitter de leurs obligations découlant des contrats d'assurance au domicile suisse de l'assuré ou du preneur d'assurance. Le for se définit selon la loi du 24 mars 2000 sur les fors. Bien que cette disposition n’ait pas été modifiée, c’est désormais le CPC qui s’applique (cf. note de bas de page de la loi). L’art. 17 CPC prévoit que sauf disposition contraire de la loi, les parties peuvent convenir d'un for pour le règlement d'un différend présent ou à venir résultant d'un rapport de droit déterminé. Sauf disposition conventionnelle contraire, l'action ne peut être intentée que devant le for élu (al. 1). La convention doit être passée en la forme écrite ou par tout autre moyen permettant d'en établir la preuve par un texte (al. 2). L'art. 31 CGA pour les assurances-maladie complémentaires des édition 2014 et 2021 prévoit un for alternatif au lieu du domicile de l'assuré et des ayants droit ou du siège de l'assureur. c. Cela étant, la compétence ratione materiae et ratione loci de la chambre de céans doit être admise, la demanderesse étant domiciliée dans le canton de Genève.</w:t>
      </w:r>
    </w:p>
    <w:p>
      <w:r>
        <w:rPr>
          <w:b/>
        </w:rPr>
        <w:t>E. 2</w:t>
      </w:r>
    </w:p>
    <w:p>
      <w:r>
        <w:t>a. Selon l'art. 88 CPC, une action en constatation de droit peut être intentée pour faire constater par un tribunal l'existence ou l'inexistence d'un droit ou d'un rapport de droit. Selon une jurisprudence constante, une conclusion en constatation de droit est recevable si le demandeur dispose d'un intérêt de fait ou de droit digne de protection à la constatation immédiate de la situation de droit (cf. art. 59 al. 2 let. a CPC ; sur les conditions de cette action, cf. ATF 141 III 68 consid. 2.3 ; ATF 136 III 523 consid. 5 ; ATF 135 III 378 consid. 2.2). L'action en constatation de droit est subsidiaire par rapport à l'action condamnatoire ou à l'action formatrice. Seules des circonstances exceptionnelles conduisent à admettre l'existence d'un intérêt digne de protection à la constatation de droit lorsqu'une action en exécution est ouverte. Un litige doit en principe être soumis au juge dans son ensemble par la</w:t>
      </w:r>
    </w:p>
    <w:p>
      <w:r>
        <w:t>A/2825/2021 - 7/10 - voie de droit prévue à cet effet. Le créancier qui dispose d'une action condamnatoire ne peut en tout cas pas choisir d'isoler des questions juridiques pour les soumettre séparément au juge par la voie d'une action en constatation de droit (ATF 135 III 378 consid. 2.2). Il appartient au demandeur d'établir qu'il dispose d'un intérêt digne de protection à la constatation (cf. arrêt du Tribunal fédéral 4A_688/2016 du 5 avril 2017 consid. 3.3). Le but de la demande en constatation de droit est de clarifier une situation juridique lorsque les parties sont en désaccord. Elle a généralement pour objet de faire constater l'existence ou l'inexistence, actuelle et prétendue, d'un rapport de droit (François Bohnet, in Commentaire romand, 2019, n° 13 ad art. 88 CPC). Un intérêt au constat peut exister lorsqu'une action condamnatoire est possible pour une prestation, mais qu'il s'agit de lever les incertitudes sur l'existence d'un rapport de droit dont elle est issue (arrêts du Tribunal fédéral 4A_719/2016 du 31 août 2017 consid. 1.2.3 ; 5C.7/2004 du 22 avril 2004 consid. 1 ; 5C.151/2002 du 30 septembre 2002 consid. 1.2 ; Bohnet, op. cit., n° 15 ad art. 88 CPC). En matière d’assurances complémentaires, le Tribunal fédéral a ainsi confirmé l’existence d’un intérêt digne de protection à voir des conclusions constatatoires tranchées portant sur l’obligation de prester de l’assurance (arrêt du Tribunal fédéral 5C.151/2002 du 30 septembre 2002 consid. 1.2). b. Conformément à la jurisprudence précitée, il doit être reconnu à la demanderesse un intérêt digne de protection à faire constater la validité de la police d’assurance complémentaire, laquelle peut fonder une obligation de prester de la défenderesse. La demande satisfaisant par ailleurs aux conditions de forme de l'art. 244 CPC, l’action en constatation de droit est recevable.</w:t>
      </w:r>
    </w:p>
    <w:p>
      <w:r>
        <w:rPr>
          <w:b/>
        </w:rPr>
        <w:t>E. 3</w:t>
      </w:r>
    </w:p>
    <w:p>
      <w:r>
        <w:t>L'objet du litige porte sur la question de savoir si le contrat d'assurance-maladie complémentaire conclue entre les parties est toujours en vigueur.</w:t>
      </w:r>
    </w:p>
    <w:p>
      <w:r>
        <w:rPr>
          <w:b/>
        </w:rPr>
        <w:t>E. 4</w:t>
      </w:r>
    </w:p>
    <w:p>
      <w:r>
        <w:t>Selon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sommation reste sans effet, l’obligation de l’assureur est suspendue à partir de l’expiration du délai légal (al. 3). L’art. 21 LCA prescrit que si l’assureur n’a pas poursuivi le paiement de la prime en souffrance dans les deux mois après l’expiration du délai de quatorze jours, il est censé s’être départi du contrat et avoir renoncé au paiement de la prime (al. 1). Si l’assureur a poursuivi le paiement de la prime ou l’a accepté ultérieurement, son obligation reprend effet dès le moment où la prime arriérée a été acquittée avec les intérêts et les frais (al. 2). Après l’expiration du délai de quatorze jours, l'assureur a le choix entre la continuation du contrat ou sa résiliation. Le preneur d'assurance ne peut pas l'obliger de maintenir le contrat en payant la prime d'assurance, dès lors que</w:t>
      </w:r>
    </w:p>
    <w:p>
      <w:r>
        <w:t>A/2825/2021 - 8/10 - l'assureur est libre de l'accepter ou de la refuser (VVG – HASENBÖHLER, ad art. 21 ch. 4 et 25).</w:t>
      </w:r>
    </w:p>
    <w:p>
      <w:r>
        <w:rPr>
          <w:b/>
        </w:rPr>
        <w:t>E. 5</w:t>
      </w:r>
    </w:p>
    <w:p>
      <w:r>
        <w:t>La demanderesse conteste en premier lieu l'application de l'art. 21 LCA au contrat d'assurance en cause. Les art. 20 et 21 LCA sont semi-impératifs, selon l'art. 98 LCA, et peuvent donc être modifiés en faveur du preneur d'assurance. L'art. 13.2 CGA des éditions 2014 et 2021 reprend la teneur de l'art. 20 LCA concernant la suspension des prestations en cas de demeure. Aucune disposition ne prévoit toutefois la fin du contrat automatique aux conditions de l'art. 21 LCA. Toutefois, selon l'art. 4 CGA dans les deux éditions, le contrat est régi par les prescriptions de la LCA, pour autant que les CGA ne prévoient pas de dérogation. Dans l'édition 2021 des CGA, il est en outre stipulé à l'art. 10.4 2ème phrase qu'hormis la renonciation de l'assureur au droit de résiliation à l'échéance du contrat ou en cas de sinistre, les autres droits de résiliation prévus par la loi sont réservés. Enfin, les CGA dans les deux éditions ne contiennent aucune dérogation à l'art. 21 LCA. Cela étant, même si la fin du contrat en application de l'art. 21 LCA n'est pas prévue expressément dans les CGA, cette disposition légale est néanmoins applicable, la LCA régissant le contrat en l'absence de dérogation.</w:t>
      </w:r>
    </w:p>
    <w:p>
      <w:r>
        <w:rPr>
          <w:b/>
        </w:rPr>
        <w:t>E. 6</w:t>
      </w:r>
    </w:p>
    <w:p>
      <w:r>
        <w:t>La demanderesse ne conteste pas avoir omis de payer la prime de décembre 2020 dans le délai de quatorze jours, suite aux sommations des 17 janvier et 13 février 2021. Concernant la question de savoir si la prime d'assurance de décembre 2020 a été payée ultérieurement, elle peut rester ouverte. En effet, cette prime a été payée le cas échéant seulement le 12 ou 23 mars 2021, soit après l'échéance du délai de quatorze jours suivant les sommations des 17 janvier et 13 février 2021. Or, la défenderesse n'a pas accepté ces paiements et les a retournés à la demanderesse, ce qu'elle lui a communiqué les 17 et 25 mars 2021. Partant, même en admettant que la prime litigieuse a été versée, le contrat d'assurance a pris fin par le refus de la défenderesse de l'accepter. Conformément à l'art. 21 al. 1 LCA a contrario, il n'est pas nécessaire dans cette hypothèse d'adresser au preneur d'assurance une résiliation formelle.</w:t>
      </w:r>
    </w:p>
    <w:p>
      <w:r>
        <w:rPr>
          <w:b/>
        </w:rPr>
        <w:t>E. 7</w:t>
      </w:r>
    </w:p>
    <w:p>
      <w:r>
        <w:t>La demanderesse se prévaut par ailleurs de ce que la défenderesse lui a adressé le 18 avril 2021, soit après ses paiements en date des 12 et 23 mars 2021 des primes d'assurance complémentaire, un rappel pour le paiement de la prime d'avril 2021. Ce faisant, la défenderesse aurait manifesté avoir fait le choix de poursuivre la relation contractuelle avec la demanderesse. a. Un contrat qui a pris fin en application de l'art. 21 al. 1 LCA deux mois après l'expiration du délai de quatorze jours, peut être réactivé, par exemple par l'acceptation du paiement de la prime après la résiliation du contrat, selon la doctrine et la jurisprudence. Une telle convention ne peut cependant pas être</w:t>
      </w:r>
    </w:p>
    <w:p>
      <w:r>
        <w:t>A/2825/2021 - 9/10 - déduite du seul fait que l'assureur a envoyé un rappel pour le paiement d'une prime ultérieure non payée (op. cit. ad art. 21 ch. 13 et 32 avec références à la jurisprudence; arrêt 3A_580/2011 du Tribunal fédéral du 2 avril 2012, consid. 4.2.1). b. En l'occurrence, avant la fin du contrat, la défenderesse a envoyé à la demanderesse les 6 février et 6 mars 2021 les factures pour le paiement des primes de l'assurance complémentaire de mars et avril 2021. Il ne saurait toutefois être considéré que l'envoi de ces factures a annulé les sommations des 17 janvier et 13 février 2021, au même titre qu'un tel envoi ne peut pas non plus être interprété comme la réactivation du contrat après sa résiliation pour cause de demeure, selon la doctrine exposée ci-dessus. L'envoi du rappel de prime pour l'assurance de base et l'assurance complémentaire envoyé le 18 avril 2021, après le refus des paiements des primes d'assurance complémentaire effectuée les 17 et 23 mars 2021, ne peut pas non plus être interprété comme une réactivation du contrat, dès lors que l'envoi d'une facture pour une prime ultérieure n'est pas considéré comme une manifestation de la part de l'assureur de conclure un nouveau contrat, selon la doctrine et la jurisprudence. À une telle interprétation s'oppose aussi le fait que le montant de la prime pour l'assurance complémentaire a été déduit de la somme à payer au motif d'un "amortissement".</w:t>
      </w:r>
    </w:p>
    <w:p>
      <w:r>
        <w:rPr>
          <w:b/>
        </w:rPr>
        <w:t>E. 8</w:t>
      </w:r>
    </w:p>
    <w:p>
      <w:r>
        <w:t>Au vu de ce qui précède, il doit être constaté que le contrat a pris fin avec le refus du paiement, en date du 12 mars, au plus tard le 23 mars 2021, des primes de l'assurance complémentaire dues, et qu'il n'a pas été réactivé par la suite. Par ailleurs, la défenderesse n'a pas consenti à remettre le contrat litigieux en vigueur aux conditions proposées par la demanderesse. Cela étant, la demande en constatation de l'existence du contrat d'assurance complémentaire liant les parties doit être rejetée.</w:t>
      </w:r>
    </w:p>
    <w:p>
      <w:r>
        <w:rPr>
          <w:b/>
        </w:rPr>
        <w:t>E. 9</w:t>
      </w:r>
    </w:p>
    <w:p>
      <w:r>
        <w:t>La défenderesse n'étant pas représentée par un avocat, elle ne peut prétendre à des dépens ('art. 95 al. 3 let. b CPC). Quoi qu'il en soit, il n’est pas alloué de dépens à la charge de l’assuré dans les causes portant sur les assurances complémentaires à l’assurance-maladie obligatoire (art. 22 al. 3 let. b de la loi d’application du code civil suisse et d'autres lois fédérales en matière civile – LaCC, E 1 05).</w:t>
      </w:r>
    </w:p>
    <w:p>
      <w:r>
        <w:rPr>
          <w:b/>
        </w:rPr>
        <w:t>E. 10</w:t>
      </w:r>
    </w:p>
    <w:p>
      <w:r>
        <w:t>Pour le surplus, la procédure est gratuite (art. 114 let. e CPC).</w:t>
      </w:r>
    </w:p>
    <w:p>
      <w:r>
        <w:t>A/2825/2021 - 10/10 -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