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ATAS/459/2021 vom 12. Mai 2021</w:t>
      </w:r>
    </w:p>
    <w:p>
      <w:r>
        <w:t>GE Cour de justice, 2021-05-12, FR</w:t>
      </w:r>
    </w:p>
    <w:p>
      <w:r>
        <w:rPr>
          <w:b/>
        </w:rPr>
        <w:t xml:space="preserve">Quelle: </w:t>
      </w:r>
      <w:r>
        <w:t>https://mcp.opencaselaw.ch/entscheid/ge_gerichte_ATAS_459_2021</w:t>
      </w:r>
    </w:p>
    <w:p>
      <w:r>
        <w:t>FR: GE_GERICHTE ATAS/459/2021 du 12 mai 2021</w:t>
      </w:r>
    </w:p>
    <w:p>
      <w:r>
        <w:t>IT: GE_GERICHTE ATAS/459/2021 del 12 maggio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5</w:t>
      </w:r>
    </w:p>
    <w:p>
      <w:r>
        <w:t>Le litige porte sur le bien-fondé de la décision sur opposition du 10 septembre 2020 par laquelle l’intimée a dénié à la recourante le droit aux prestations de l’assurance- accidents pour les troubles relatifs à son épaule gauche, faute de lien de causalité.</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A/3192/2020 - 8/20 -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 L’examen de</w:t>
      </w:r>
    </w:p>
    <w:p>
      <w:r>
        <w:t>A/3192/2020 - 9/20 -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arrêt du Tribunal fédéral 8C_303/2017 consid. 4.1) ou, autrement dit, du traitement médical en général (« ärztlichen Behandlung insegamt » une amélioration sensible de l'état de santé de l'assuré (RUMO-JUNGO / HOLZER, Bundesgestz über die Unfallversicherung [UVG] 2012 ad art. 6 p. 60).</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w:t>
      </w:r>
    </w:p>
    <w:p>
      <w:r>
        <w:t>A/3192/2020 - 10/20 -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w:t>
      </w:r>
    </w:p>
    <w:p>
      <w:r>
        <w:t>A/3192/2020 - 11/20 -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Le Tribunal fédéral a rappelé que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Ce critère ne se mesure pas uniquement au regard de la profession antérieurement exercée par l'assuré. Ainsi, il n'est pas rempli lorsque l'assuré est apte, même après un certain laps de temps, à exercer à plein temps une activité adaptée aux séquelles</w:t>
      </w:r>
    </w:p>
    <w:p>
      <w:r>
        <w:t>A/3192/2020 - 12/20 - accidentelles qu'il présente (arrêt du Tribunal fédéral 8C_766/2017 du 30 juillet 2018 consid. 6.3.3).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w:t>
      </w:r>
    </w:p>
    <w:p>
      <w:r>
        <w:rPr>
          <w:b/>
        </w:rPr>
        <w:t>E. 13</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A/3192/2020 - 15/20 -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w:t>
      </w:r>
    </w:p>
    <w:p>
      <w:r>
        <w:t>A/3192/2020 - 16/20 -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16</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w:t>
      </w:r>
    </w:p>
    <w:p>
      <w:r>
        <w:t>A/3192/2020 - 17/20 -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19</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w:t>
      </w:r>
    </w:p>
    <w:p>
      <w:r>
        <w:rPr>
          <w:b/>
        </w:rPr>
        <w:t>E. 20</w:t>
      </w:r>
    </w:p>
    <w:p>
      <w:r>
        <w:t>En l’espèce, la décision querellée est fondée sur une appréciation médicale établie le 7 janvier 2020 par la Dresse E______, médecin d’arrondissement de l’intimée, laquelle retenait que les troubles de l’épaule gauche de la recourante n’étaient apparus que près de deux ans après l’événement. Dans son rapport du 1er juillet 2020, elle mentionnait qu’aucune plainte n’était rapportée en 2016 s’agissant de l’épaule gauche de la recourante. Or, dans son rapport du 19 août 2016, soit dix jours après l’accident, le Dr B______ avait déjà indiqué avoir constaté une contusion au niveau de l’épaule de la recourante. Le 23 mai 2017, il a prescrit neuf séances de massages de rééducation pour cette épaule et a ensuite régulièrement ordonné la poursuite de ce traitement. Le 1er septembre 2016, la recourante a indiqué dans un formulaire transmis par la SUVA que son traitement médical n’était pas terminé et qu’elle avait encore chaque semaine des séances de</w:t>
      </w:r>
    </w:p>
    <w:p>
      <w:r>
        <w:t>A/3192/2020 - 18/20 - physiothérapie. L’instruction de la cause a enfin permis d’établir que la recourante avait fait l’objet d’une radiographie de l’épaule de son épaule gauche le 10 août 2016. Il en résulte que les appréciations de la Dresse E______ des 7 janvier et 1er juillet 2020 reposent sur une lecture incomplète du dossier et qu’elle a retenu à tort que les troubles de l’épaule gauche de la recourante étaient apparus près de deux ans après l’événement. Ces appréciations ne sont dès lors guère probantes. Le 28 juillet 2020, la Dresse E______ a revu sa position et indiqué que le RX du 10 août 2016 ne mettait pas en évidence de lésions structurelles pouvant être imputées à l’événement du 9 août 2016 ou qui pourraient expliquer la symptomatologie actuelle de la recourante. Il faut relever à cet égard que si la radiographie de l’épaule de la recourante du 10 août 2016 n’a pas mis en évidence de lésion ostéo-articulaire post-traumatique aiguë visible, elle a permis de constater un aspect de rupture du centre scapho- huméral, lié à l’incidence en rotation externe en premier lieu. Ce dernier constat laisse penser qu’il pourrait y avoir une lésion structurelle à l’épaule de la recourante pouvant expliquer sa symptomatologie actuelle. En outre, le rapport établi le 26 août 2019 par le Dr D______, sur la base d’une radiographie et échographie de l’épaule gauche de la recourante, fait mention d’une discrète infiltration de l’intervalle des rotateurs orientant vers une possible capsulite post-traumatique avec une discrète tuméfaction capsulo-ligamentaire acromio- claviculaire, possiblement séquellaire d’une contusion ou d’une entorse. Ce rapport atteste également d’une atteinte possible à l’épaule de la recourante en lien avec l’accident du 9 août 2016. Dans son rapport du 6 octobre 2020, le Dr B______ considérait que les lésions décelées après les RX du rachis cervical indiquaient un début d’uncarthrose qui était la conséquence de l’accident du 9 août 2016 et qui n’était pas lié à l’âge ou à l’usure chez une patiente de 27 ans. Cette appréciation, certes brève, est néanmoins convaincante, dès lors que le début d’une uncarthrose paraît vraisemblablement dû à une cause accidentelle, vu le jeune âge de la recourante. Les appréciations faites les 1er et 28 juillet 2020 par la Dresse E______ restent très théoriques et ne sont pas fondées sur un examen de la recourante. Elles sont suffisamment remises en cause par les rapports du médecin traitant de la recourante et d’imagerie pour justifier une instruction complémentaire, sous la forme d’une expertise par un médecin indépendant. En cas de constat d’absence d'un déficit fonctionnel organique, l’expert devra se prononcer sur l’existence d’une éventuelle lésion de l’épaule assimilable à un accident de type « coup du lapin » qui pourrait fonder une obligation de prendre le cas en charge.</w:t>
      </w:r>
    </w:p>
    <w:p>
      <w:r>
        <w:t>A/3192/2020 - 19/20 -</w:t>
      </w:r>
    </w:p>
    <w:p>
      <w:r>
        <w:rPr>
          <w:b/>
        </w:rPr>
        <w:t>E. 21</w:t>
      </w:r>
    </w:p>
    <w:p>
      <w:r>
        <w:t>Au vu de ce qui précède, le recours sera partiellement admis, la décision du 10 septembre 2020 annulée et la cause renvoyée à l’intimée pour instruction complémentaire et nouvelle décision au sens des considérants.</w:t>
      </w:r>
    </w:p>
    <w:p>
      <w:r>
        <w:rPr>
          <w:b/>
        </w:rPr>
        <w:t>E. 22</w:t>
      </w:r>
    </w:p>
    <w:p>
      <w:r>
        <w:t>Il ne sera pas alloué d’indemnité de procédure à la recourante, qui n'est pas assistée d'un conseil et qui n’a pas fait valoir de frais engendrés par la procédure (art. 61 let. g LPGA).</w:t>
      </w:r>
    </w:p>
    <w:p>
      <w:r>
        <w:rPr>
          <w:b/>
        </w:rPr>
        <w:t>E. 23</w:t>
      </w:r>
    </w:p>
    <w:p>
      <w:r>
        <w:t>Pour le surplus, la procédure est gratuite (art. 61 let. a LPGA).</w:t>
      </w:r>
    </w:p>
    <w:p>
      <w:r>
        <w:t>A/3192/2020 - 20/20 -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