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ATAS/459/2019 vom 22. Mai 2019</w:t>
      </w:r>
    </w:p>
    <w:p>
      <w:r>
        <w:t>GE Cour de justice, 2019-05-22, FR</w:t>
      </w:r>
    </w:p>
    <w:p>
      <w:r>
        <w:rPr>
          <w:b/>
        </w:rPr>
        <w:t xml:space="preserve">Quelle: </w:t>
      </w:r>
      <w:r>
        <w:t>https://mcp.opencaselaw.ch/entscheid/ge_gerichte_ATAS_459_2019</w:t>
      </w:r>
    </w:p>
    <w:p>
      <w:r>
        <w:t>FR: GE_GERICHTE ATAS/459/2019 du 22 mai 2019</w:t>
      </w:r>
    </w:p>
    <w:p>
      <w:r>
        <w:t>IT: GE_GERICHTE ATAS/459/2019 del 22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A/3205/2018 - 8/14 -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w:t>
      </w:r>
    </w:p>
    <w:p>
      <w:r>
        <w:rPr>
          <w:b/>
        </w:rPr>
        <w:t>E. 4</w:t>
      </w:r>
    </w:p>
    <w:p>
      <w:r>
        <w:t>Le litige porte sur le droit du recourant à des prestations de l’assurance-invalidité, singulièrement à une rente.</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w:t>
      </w:r>
    </w:p>
    <w:p>
      <w:r>
        <w:t>A/3205/2018 - 9/14 -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salaires jusqu'au moment de la naissance du droit à la rente (ATF 129 V 222 consid. 4.3.1).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(ATF 135 V 297).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w:t>
      </w:r>
    </w:p>
    <w:p>
      <w:r>
        <w:t>A/3205/2018 - 10/14 -</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(ATF 125 V 261 consid. 4 ;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issue d’une observation professionnelle diverge sensiblement de l'appréciation médicale, il incombe à l'administration, respectivement au juge -</w:t>
      </w:r>
    </w:p>
    <w:p>
      <w:r>
        <w:t>A/3205/2018 - 11/14 - conformément au principe de la libre appréciation des preuves - de confronter les deux évaluations et, au besoin, de requérir un complément d'instruction (arrêt du Tribunal fédéral 9C_512/2013 du 16 janvier 2014 consid. 5.2.1 et les références). c.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 se fondant sur l’expertise du Dr E______, considère que l’assuré ne peut plus travailler comme chauffagiste, mais qu’il est pleinement capable, depuis le mois de mai 2016 (trois mois après sa fracture vertébrale), d’exercer une activité adaptée à ses limitations fonctionnelles. De son côté, le recourant reproche à l’intimé d’avoir insuffisamment instruit son dossier, singulièrement d’avoir fait abstraction de ses atteintes psychiques et des nouveaux éléments - une recrudescence de contractures, pour lesquelles un arrêt de travail à 50% a été prescrit dès le 14 décembre 2017 - mis en évidence par son médecin orthopédiste pour évaluer sa capacité de travail.</w:t>
      </w:r>
    </w:p>
    <w:p>
      <w:r>
        <w:rPr>
          <w:b/>
        </w:rPr>
        <w:t>E. 10</w:t>
      </w:r>
    </w:p>
    <w:p>
      <w:r>
        <w:t>a. Au plan somatique, la chambre de céans observe que l’expertise réalisée par le Dr E______ se fonde sur des examens complets, effectués en connaissance du dossier médical, qu’elle tient compte des plaintes exprimées par l’assuré et que ses conclusions sont motivées. Toutefois, dans les faits, la pleine capacité de travail retenue par l’expert est mise en doute par le Dr G______ qui atteste d’une capacité de travail limitée à 50% et par le stage d’orientation professionnelle qu’a effectué l’assuré aux ÉPI. Si comme le relève le SMR, l’assuré a fait preuve d’un comportement discutable en remettant</w:t>
      </w:r>
    </w:p>
    <w:p>
      <w:r>
        <w:t>A/3205/2018 - 12/14 - en question les remarques formulées par l’encadrement dans le cadre des ateliers professionnels, du 20 novembre 2017 au 14 janvier 2018, il n’en demeure pas moins que l’intéressé a rencontré de réelles difficultés d’ordre physique durant le stage de réentrainement qu’il a effectué du 15 janvier au 23 février 2018, pour lequel son engagement a été qualifié de « bon ». À ce propos, le second rapport des ÉPI (p. 2) précise : « le stage de trente jours comme opérateur en industrie […] a démontré que l’assuré ne maintient aucune position de travail [longtemps], il alterne les positions toutes les 30 à 45 minutes. Il comprend les consignes, les applique avec justesse et le travail rendu est de qualité. Sur des travaux simples et répétitifs, sa gestuelle est bonne mais lente. Ce stage a mis en évidence des rendements de 50% à 70% au maximum sur un 50%. [L’assuré] a un tonus en « dents de scie », car il fait régulièrement des étirements, se promène dans l’atelier et est souvent en recherche d’une position antalgique pour soulager son dos (perte de rendement). Les raisons suivantes expliquent ces faibles rendements : douleurs au dos, il ne tient pas une position de travail [longtemps] ; tonus général moyen ; alternance des positions très fréquentes, il fait des étirements toutes les 30 à 45 minutes environ pour soulager son dos et ses jambes. Au vu de ce qui précède, […] nous laissons le soin à l’OAI de déterminer s’il y a lieu de demander un complément d’informations médicales ». Ces constatations, qui suggèrent un rendement nettement diminué – évalué par les ÉPI entre 50% et 70% pour une activité exercée à mi-temps et permettant apparemment d’alterner les positions –, s’écartent des conclusions de l’expert E______. Comme cela a été exposé ci-dessus (consid. 8b), lorsque l'appréciation issue d’une observation professionnelle s’écarte sensiblement de l'appréciation médicale, il convient au besoin de requérir un complément d'instruction. C’est ce qu’il convient de faire. Partant, la cause sera renvoyée à l’intimé pour qu’il invite l’expert à se déterminer sur les conclusions des ÉPI, s’agissant notamment d’une éventuelle diminution de rendement, et sur celles du Dr G______. En fonction des réponses données par l’expert, l’intimé déterminera si d’autres mesures d’instruction se justifient au plan somatique. b. Au plan psychiatrique, il ressort du dossier que l’assuré présente un TDA-H, diagnostiqué par la Dresse H______, et qu’il a subi une cure de désintoxication en 2013, liée à sa consommation d’alcool et de stupéfiants (cocaïne, ecstasy et cannabis). Bien que l’assuré affirme avoir réduit sa consommation, ses problèmes d’addiction semblent persister, puisqu’il a indiqué à l’expert E______ qu’il buvait encore trois verres d’alcool par jour et demeurait suivi par les médecins d’un « centre spécialisé », qui lui prescrivaient du Stilnox et du Temesta. Le premier rapport des ÉPI tend également à confirmer que l’intéressé boit encore, puisqu’il stipule (p. 15) : « […] [l’assuré] mentionne qu’il est tellement stressé, tellement inquiet pour son avenir qu’il n’arrive plus à dormir et qu’il a replongé dans son addiction à l’alcool. Il nous informe qu’il boit le soir de la vodka ou du pastis avec la prise de Co-Dafalgan ». Par ailleurs, il ressort du rapport des ÉPI que les troubles</w:t>
      </w:r>
    </w:p>
    <w:p>
      <w:r>
        <w:t>A/3205/2018 - 13/14 - de la concentration de l’assuré ont largement perturbé le déroulement de la mesure d’orientation professionnelle, si bien qu’à l’issue de celle-ci, la conseillère en réadaptation de l’AI l’a invité à transmettre les rapports médicaux s’y rapportant. Il résulte de ce qui précède que le recourant présente non seulement des atteintes somatiques mais également des troubles psychiques, dont les éventuelles répercussions sur la capacité de travail n’ont pas été investiguées par l’intimé, contrairement à ce que prescrit l’art. 43 al. 1 LPGA. À cet égard, on remarque notamment que les médecins traitant le recourant pour ses addictions, tout comme la psychiatre ayant diagnostiqué son TDA-H, n’ont pas été invités à se prononcer sur sa capacité de travail.</w:t>
      </w:r>
    </w:p>
    <w:p>
      <w:r>
        <w:rPr>
          <w:b/>
        </w:rPr>
        <w:t>E. 11</w:t>
      </w:r>
    </w:p>
    <w:p>
      <w:r>
        <w:t>Faute d’instruction suffisante, la chambre de céans n’est pas en mesure de statuer définitivement sur la capacité de travail, partant sur le degré d’invalidité et le droit aux prestations. Il se justifie en conséquence d’admettre partiellement le recours, d’annuler la décision du 7 août 2018 et de renvoyer la cause à l’intimé pour qu’il complète l’instruction, puis rende une nouvelle décision. Il incombera à l’intimé d’inviter l’expert E______ à se déterminer sur les conclusions du Dr G______ et des ÉPI, s’agissant notamment d’une éventuelle diminution de rendement. En fonction des réponses données par l’expert, l’intimé examinera si d’autres mesures d’instruction se justifient sous l’angle somatique. Sous l’angle psychiatrique, l’intimé obtiendra l’avis des spécialistes qui suivent le recourant, puis, si cela est nécessaire pour évaluer sa capacité de travail, ordonnera un examen médical ou une expertise.</w:t>
      </w:r>
    </w:p>
    <w:p>
      <w:r>
        <w:rPr>
          <w:b/>
        </w:rPr>
        <w:t>E. 12</w:t>
      </w:r>
    </w:p>
    <w:p>
      <w:r>
        <w:t>Vu l’issue du litige, il est superflu d’examiner les autres griefs qu’invoque le recourant, s’agissant en particulier du calcul du degré d’invalidité et du point de savoir si la comparaison des gains doit être effectuée sur la base d’une parallélisation des revenus.</w:t>
      </w:r>
    </w:p>
    <w:p>
      <w:r>
        <w:rPr>
          <w:b/>
        </w:rPr>
        <w:t>E. 13</w:t>
      </w:r>
    </w:p>
    <w:p>
      <w:r>
        <w:t>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w:t>
      </w:r>
    </w:p>
    <w:p>
      <w:r>
        <w:rPr>
          <w:b/>
        </w:rPr>
        <w:t>E. 14</w:t>
      </w:r>
    </w:p>
    <w:p>
      <w:r>
        <w:t>La procédure de recours en matière de contestation portant sur l’octroi ou le refus de prestations de l’assurance-invalidité étant soumise à des frais de justice, un émolument de CHF 500.- est mis à charge de l’intimé (art. 69 al. 1 bis LAI). ******</w:t>
      </w:r>
    </w:p>
    <w:p>
      <w:r>
        <w:t>A/3205/2018 - 14/14 -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