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ATAS/459/2012 vom 3. April 2012</w:t>
      </w:r>
    </w:p>
    <w:p>
      <w:r>
        <w:t>GE Cour de justice, 2012-04-03, FR</w:t>
      </w:r>
    </w:p>
    <w:p>
      <w:r>
        <w:rPr>
          <w:b/>
        </w:rPr>
        <w:t xml:space="preserve">Quelle: </w:t>
      </w:r>
      <w:r>
        <w:t>https://mcp.opencaselaw.ch/entscheid/ge_gerichte_ATAS_459_2012</w:t>
      </w:r>
    </w:p>
    <w:p>
      <w:r>
        <w:t>FR: GE_GERICHTE ATAS/459/2012 du 3 avril 2012</w:t>
      </w:r>
    </w:p>
    <w:p>
      <w:r>
        <w:t>IT: GE_GERICHTE ATAS/459/2012 del 3 aprile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w:t>
      </w:r>
    </w:p>
    <w:p>
      <w:r>
        <w:rPr>
          <w:b/>
        </w:rPr>
        <w:t>E. 3</w:t>
      </w:r>
    </w:p>
    <w:p>
      <w:r>
        <w:t>Le litige porte sur le montant et le versement des rentes dues au demandeur pour lui-même et ses deux enfants.</w:t>
      </w:r>
    </w:p>
    <w:p>
      <w:r>
        <w:rPr>
          <w:b/>
        </w:rPr>
        <w:t>E. 4</w:t>
      </w:r>
    </w:p>
    <w:p>
      <w:r>
        <w:t>Selon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w:t>
      </w:r>
    </w:p>
    <w:p>
      <w:r>
        <w:t>A/35/2012 - 4/7 - L'art. 28 des statuts de la CIA du 28 octobre 1999 (loi 8015) avec effet au 1er janvier 2000, confirme que "l'invalidité est une atteinte durable à la santé physique ou mentale du salarié entraînant une incapacité partielle ou totale de remplir sa fonction ou toute autre fonction analogue au service de l'Etat ou d'une institution externe. L'assuré reconnu invalide par l'assurance-invalidité fédérale (AI) l'est également par la Caisse. La pension est allouée à la demande de l'intéressé ou de l'employeur. Le degré d'invalidité est celui reconnu par l'AI fédérale. Le droit à la pension naît en même temps que le droit à la rente de l'AI." L'art. 29 des statuts de la CIA prévoit que "la pension d'invalidité est égale à la pension de retraite projetée, multipliée par le degré d'invalidité. Un degré d'invalidité égal ou supérieur à 70% donne droit à une pension entière."</w:t>
      </w:r>
    </w:p>
    <w:p>
      <w:r>
        <w:rPr>
          <w:b/>
        </w:rPr>
        <w:t>E. 5</w:t>
      </w:r>
    </w:p>
    <w:p>
      <w:r>
        <w:t>Selon l'art. 25 LPP,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 L'art. 30 des statuts de la CIA précise que "le bénéficiaire d'une pension d'invalidité a droit à une pension d'enfant d'invalide pour chacun de ses enfants. La pension peut être versée à l'enfant dès sa majorité. Cette pension est proportionnelle au degré d'invalidité." Pour chaque orphelin d'un salarié, la pension est de 26 2/3 % de la pension de retraite projetée (art. 25 al. 1 des statuts de la CIA).</w:t>
      </w:r>
    </w:p>
    <w:p>
      <w:r>
        <w:rPr>
          <w:b/>
        </w:rPr>
        <w:t>E. 6</w:t>
      </w:r>
    </w:p>
    <w:p>
      <w:r>
        <w:t>L'art. 24 OPP 2 permet à l'institution de prévoyance de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Depuis les modifications apportées à l'OPP 2 par la novelle du 28 octobre 1992 (entrée en vigueur le 1er janvier 1993), la rente pour l'épouse et les rentes pour enfants sont comptées à parts entières dans le calcul de surindemnisation (ATF 126 V 468, 122 V 316). La novelle du 11 septembre 2002, entrée en vigueur le 1er janvier 2003, n'a fait que préciser à l'art. 24 al. 3 OPP2 que les revenus de la veuve et de l'orphelin sont comptés ensemble.</w:t>
      </w:r>
    </w:p>
    <w:p>
      <w:r>
        <w:t>A/35/2012 - 5/7 - L'art. 19 al. 1 et 2 du règlement général de la CIA du 22 février 1999 prévoit, en application des art. 46 et 47 des statuts de la CIA, que "la Caisse réduit les prestations d'invalidité et d'ayants droit dans la mesure où, ajoutées à d'autres revenus à prendre en compte, elles dépassent 90% du salaire de référence de l'invalide ou du défunt. Sont considérés comme revenus à prendre en compte, les rentes et les indemnités journalières ou les prestations en capital prises à leur valeur de rentes provenant d'assurances sociales ou d'institutions de prévoyance suisses et étrangères. Ne sont pas prises en compte les allocations pour impotents, les indemnités pour atteinte à l'intégrité et toutes autres prestations semblables."</w:t>
      </w:r>
    </w:p>
    <w:p>
      <w:r>
        <w:rPr>
          <w:b/>
        </w:rPr>
        <w:t>E. 7</w:t>
      </w:r>
    </w:p>
    <w:p>
      <w:r>
        <w:t>En l'espèce, il résulte des pièces figurant dans le dossier que les 90% du salaire déterminant représentant le seuil de surindemnisation est de 90'554 fr. 40. Or, les prestations CIA calculées sur la base du traitement assuré s'élevant à 70'253 fr. 80, auxquelles il convient encore d'ajouter les rentes AI à hauteur de 40'980 fr. (rentes d'invalidité : 22'764 fr., et rentes complémentaires pour enfants : 9'108 fr. x 2) correspondent à un montant total de 111'233 fr. 80, lequel dépasse le seuil de surindemnisation. Seules les prestations CIA pouvant être réduites, on obtient le facteur de réduction, en calculant le rapport entre la prestation CIA non réduite et le seuil de surindemnisation CIA, soit 49'574 fr. 40 (90'554 fr. 40 - 40'980 fr.), soit 70,565%. Il y a ainsi lieu de prendre en considération d'abord les 63,64% (taux de pension d'invalidité statutaire) du revenu assuré (71'992 fr.), puis les 70,565% du résultat obtenu, ce qui conduit à un montant mensuel de 2'694 fr. 30 pour l'assuré. S'agissant de la rente pour enfants, il convient de retenir les 26,67% du revenu assuré (art. 25 al. 1 et 30 al. 3 des statuts), puis les 70,565% du résultat obtenu, ce qui conduit à un montant mensuel de 718 fr. 55 par enfant. Force est ainsi de constater que la CIA a procédé au calcul de surindemnisation conformément à la loi et à ses statuts.</w:t>
      </w:r>
    </w:p>
    <w:p>
      <w:r>
        <w:rPr>
          <w:b/>
        </w:rPr>
        <w:t>E. 8</w:t>
      </w:r>
    </w:p>
    <w:p>
      <w:r>
        <w:t>Si le bénéficiaire de la pension est divorcé, la pension est versée à l'enfant en application de l'article 285, alinéa 2bis CCS. Les articles 24 et 25, alinéa 1, sont applicables par analogie aux enfants d'invalide (art. 30 al. 3 des statuts). L'art. 285 al. 2 bis CC précise que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versée jusqu’alors est réduit d’office en conséquence."</w:t>
      </w:r>
    </w:p>
    <w:p>
      <w:r>
        <w:t>A/35/2012 - 6/7 - C'est dès lors à juste titre que les rentes versées en faveur des enfants l'ont été à la mère, laquelle est titulaire du droit de garde et de l'autorité parentale selon le jugement de divorce.</w:t>
      </w:r>
    </w:p>
    <w:p>
      <w:r>
        <w:rPr>
          <w:b/>
        </w:rPr>
        <w:t>E. 9</w:t>
      </w:r>
    </w:p>
    <w:p>
      <w:r>
        <w:t>Aussi la demande ne peut-elle qu'être rejetée.</w:t>
      </w:r>
    </w:p>
    <w:p>
      <w:r>
        <w:t>A/35/2012 - 7/7 -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