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ATAS/458/2011 vom 10. Mai 2011</w:t>
      </w:r>
    </w:p>
    <w:p>
      <w:r>
        <w:t>GE Cour de justice, 2011-05-10, FR</w:t>
      </w:r>
    </w:p>
    <w:p>
      <w:r>
        <w:rPr>
          <w:b/>
        </w:rPr>
        <w:t xml:space="preserve">Quelle: </w:t>
      </w:r>
      <w:r>
        <w:t>https://mcp.opencaselaw.ch/entscheid/ge_gerichte_ATAS_458_2011</w:t>
      </w:r>
    </w:p>
    <w:p>
      <w:r>
        <w:t>FR: GE_GERICHTE ATAS/458/2011 du 10 mai 2011</w:t>
      </w:r>
    </w:p>
    <w:p>
      <w:r>
        <w:t>IT: GE_GERICHTE ATAS/458/2011 del 10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dans les forme et délai prévus par la loi (art. 56ss LPGA), le présent recours est recevable .</w:t>
      </w:r>
    </w:p>
    <w:p>
      <w:r>
        <w:rPr>
          <w:b/>
        </w:rPr>
        <w:t>E. 3</w:t>
      </w:r>
    </w:p>
    <w:p>
      <w:r>
        <w:t>Le litige porte sur le droit de l'OAI de supprimer la rente entière jusque-là versée à l'assurée.</w:t>
      </w:r>
    </w:p>
    <w:p>
      <w:r>
        <w:rPr>
          <w:b/>
        </w:rPr>
        <w:t>E. 4</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w:t>
      </w:r>
    </w:p>
    <w:p>
      <w:r>
        <w:t>A/3390/2010 - 6/11 -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Pour qu'une décision de révision constitue elle aussi une (nouvelle) base de comparaison dans le cadre d'une autre révision, il faut qu'elle porte sur l'adaptation effective du droit à la rente en cours au taux d'invalidité nouvellement déterminé, et non qu'elle se borne à confirmer la décision initiale (ATF 109 V 265 consid. 4a; voir aussi ATF 130 V 75 consid. 3.2.3).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t>A/3390/2010 - 7/11 -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 l'augmentation ou la baisse du revenu d'invalide, la modification de la capacité d'accomplir les travaux habituels, la modification des critères d'évaluation de l'invalidité (modification du statut), la modification de la situation familiale déterminante lors de l'évaluation de l'invalidité des assurés qui s'occupent du ménage, et la modification de dispositions légales ou réglementaire impliquant des conditions du droit à la rente plus larges ou plus strictes ; ne constituent en revanche pas des motifs de révision la modification provisoire d'un de ces éléments, ou des modifications de directives administratives (cf. directives de l'Office fédéral des assurances sociales, CIIAI, ch. 5005 et ss). De même, un changement de jurisprudence n’est un motif ni de révision procédurale ni de reconsidération.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 b) Aux termes de l’art. 88bis al. 2 du règlement du 17 janvier 1961 sur l’assurance- 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A/3390/2010 - 8/11 -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A/3390/2010 - 9/11 -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En l’espèce, il s’agit donc de déterminer si l’état de santé de l'assurée s’est amélioré entre la décision initiale du 14 juillet 1999 et la décision querellée du 31 août 2010.</w:t>
      </w:r>
    </w:p>
    <w:p>
      <w:r>
        <w:rPr>
          <w:b/>
        </w:rPr>
        <w:t>E. 8</w:t>
      </w:r>
    </w:p>
    <w:p>
      <w:r>
        <w:t>En 1999 et en 2005, l'OAI s'était fondé sur les rapports du Dr A_________ pour respectivement accorder puis maintenir le droit à une rente entière d'invalidité.</w:t>
      </w:r>
    </w:p>
    <w:p>
      <w:r>
        <w:rPr>
          <w:b/>
        </w:rPr>
        <w:t>E. 9</w:t>
      </w:r>
    </w:p>
    <w:p>
      <w:r>
        <w:t>Dans leur rapport d'expertise du 12 octobre 2009, les médecins du CHUV ont quant à eux considéré que l'assurée était capable de travailler à 100% dans une activité assise, pour autant qu'elle ne soit pas obligée de déplacer des poids et que le temps passé debout ne soit limité qu'à quelques minutes par heure, étant précisé qu'elle ne devait pas être exposée à de la fumée ni à de la poussière et qu'elle devait pouvoir atteindre le lieu de travail avec des déplacements limités (inférieurs à 500 mètres de marche et en évitant les escaliers).</w:t>
      </w:r>
    </w:p>
    <w:p>
      <w:r>
        <w:rPr>
          <w:b/>
        </w:rPr>
        <w:t>E. 10</w:t>
      </w:r>
    </w:p>
    <w:p>
      <w:r>
        <w:t>Il y a préalablement lieu de constater que l'expertise réalisée par ces médecins remplit tous les réquisits de la jurisprudence permettant de lui attribuer pleine</w:t>
      </w:r>
    </w:p>
    <w:p>
      <w:r>
        <w:t>A/3390/2010 - 10/11 - valeur probante. Ils ont expliqué en quoi consistaient les atteintes à la santé de l'assurée, et leurs conclusions sont claires et bien motivées. L'assurée les conteste cependant, se référant à son médecin traitant. Il s'agit dès lors de déterminer si l'appréciation du Dr A_________ est de nature à mettre en doute les conclusions des experts. A cet égard, le Tribunal de céans renonce à entendre l'assurée, dans la mesure où il y a déjà eu double échange d'écritures. La garantie offerte par l’art. 29 al. 2 de la Constitution fédérale n’implique pas en effet un droit à être entendu oralement (ATF 130 II 429 consid. 2.1), mais bien celui de prendre position par écrit (ATF non publié du 13 novembre 2002, 4P.195/2002 ; ATF 125 I 219 consid. 9b). Le droit d’être entendu oralement ne peut être accordé que par une disposition légale expresse (cf. Pra 2003 n. 97 consid. 2.6), ce que l’art. 42 LPGA ne prévoit pas (ATFA non publié du 20 septembre 2005, C 128/04 consid. 1.2).</w:t>
      </w:r>
    </w:p>
    <w:p>
      <w:r>
        <w:rPr>
          <w:b/>
        </w:rPr>
        <w:t>E. 11</w:t>
      </w:r>
    </w:p>
    <w:p>
      <w:r>
        <w:t>Le Dr A_________ considère que sa patiente est incapable de travailler à 100%, ce depuis le 23 décembre 1997. Il a confirmé ce taux lors des révisions intervenues en 2005 et en 2008. Le 27 août 2008, il a indiqué que l'état de santé était resté stationnaire. Il a précisé que l'assurée souffrait de cervicalgies et de lombalgies, raison pour laquelle il lui avait suggéré de consulter un rhumatologue. Il a du reste souligné que la problématique se situait alors surtout au niveau rhumatologique, ce qu'il a confirmé le 28 mai 2010, après avoir pris connaissance du rapport d'expertise des pneumologues du CHUV, en déclarant que l'incapacité de travail est actuellement liée beaucoup plus à l'asthénie et aux douleurs cervicales et lombaires, qu'aux problèmes respiratoires. Or, selon le Dr B_________, l'activité d'ouvrière de fabrication est encore exigible à 100% du point de vue rhumatologique. Force est dès lors de constater, au vu des conclusions du rapport d'expertise du 12 octobre 2009 sur le plan pneumologique et du rapport du Dr B_________ du 18 décembre 2008 sur le plan rhumatologique, que rien ne devrait plus empêcher l'assurée de travailler dans son activité antérieure d'ouvrière occupée au contrôle des emballages dans une entreprise pharmaceutique, activité dans le cadre de laquelle les limitations fonctionnelles décrites par les experts sont en principe respectées. Cette capacité entière de travail peut être admise à compter de la date du rapport d'expertise. Les conditions de la révision du droit à la rente sont ainsi réalisées, de sorte que la décision de suppression de la rente ne peut être que confirmée.</w:t>
      </w:r>
    </w:p>
    <w:p>
      <w:r>
        <w:t>A/3390/2010 - 11/11 -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