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ATAS/457/2021 vom 12. Mai 2021</w:t>
      </w:r>
    </w:p>
    <w:p>
      <w:r>
        <w:t>GE Cour de justice, 2021-05-12, FR</w:t>
      </w:r>
    </w:p>
    <w:p>
      <w:r>
        <w:rPr>
          <w:b/>
        </w:rPr>
        <w:t xml:space="preserve">Quelle: </w:t>
      </w:r>
      <w:r>
        <w:t>https://mcp.opencaselaw.ch/entscheid/ge_gerichte_ATAS_457_2021</w:t>
      </w:r>
    </w:p>
    <w:p>
      <w:r>
        <w:t>FR: GE_GERICHTE ATAS/457/2021 du 12 mai 2021</w:t>
      </w:r>
    </w:p>
    <w:p>
      <w:r>
        <w:t>IT: GE_GERICHTE ATAS/457/2021 del 12 maggio 2021</w:t>
      </w:r>
    </w:p>
    <w:p>
      <w:pPr>
        <w:pStyle w:val="Heading2"/>
      </w:pPr>
      <w:r>
        <w:t>Erwägungen</w:t>
      </w:r>
    </w:p>
    <w:p>
      <w:r>
        <w:rPr>
          <w:b/>
        </w:rPr>
        <w:t>E. 25</w:t>
      </w:r>
    </w:p>
    <w:p>
      <w:r>
        <w:t>Le 7 juillet 2020, l’intéressée a formé recours contre la décision précitée auprès de la chambre des assurances sociales de la Cour de justice, faisant valoir que l’intimé aurait dû davantage motiver sa décision, compte tenu de ses objections détaillées à son projet de décision. Il avait ainsi violé son droit d’obtenir une décision motivée lui permettant de comprendre le refus de l’OAI. L’invalidité de la recourante n’était pas survenue en 2016, comme le retenait l’OAI, puisque son taux d’invalidité était alors de moins de 40% à cette période, mais au plus tôt au courant de l’année 2018, suite à l’aggravation de son état de santé et à son changement de statut. Ce n’était en effet qu’à partir de cette période que son taux d’invalidité avait été de 40% au moins et que l’on pouvait parler de survenance de l’invalidité.</w:t>
      </w:r>
    </w:p>
    <w:p>
      <w:r>
        <w:rPr>
          <w:b/>
        </w:rPr>
        <w:t>E. 26</w:t>
      </w:r>
    </w:p>
    <w:p>
      <w:r>
        <w:t>Le 3 août 2020, l’intimé a observé qu’une violation du droit d’être entendu ne pouvait être admise dans le présent cas au seul motif que l’argumentation arbitraire de la recourante n’avait pas fait l’objet d’une réfutation explicite de l’OAI, dans la mesure où le contenu de sa décision était conforme aux règles jurisprudentielles en la matière. De plus, la recourante avait eu la possibilité de s’exprimer dans le cadre de la présente procédure de recours auprès de la chambre des assurances sociales, qui avait un plein pouvoir de cognition, de sorte que tout éventuel vice devait être considéré comme guéri. En l’espèce, la recourante était originaire d’Egypte et entrée en Suisse le 23 septembre 2014. La Suisse n’avait pas conclu de convention bilatérale en</w:t>
      </w:r>
    </w:p>
    <w:p>
      <w:r>
        <w:t>A/2015/2020 - 6/15 - matière de sécurité sociale avec l’Egypte. La recourante se méprenait lorsqu’elle considérait que la survenance de l’invalidité était liée à l’octroi ou non effectif de prestations de l’assurance-invalidité. Dans l’arrêt I 170/94 du 30 mai 1995, le Tribunal fédéral avait clairement jugé que l’aggravation d’une atteinte partiellement invalidante à la santé survenue alors que la personne intéressée ne remplissait pas les conditions d’assurance ne constituait pas un nouveau cas d’assurance. L’intimé se référait encore à l’arrêt du Tribunal fédéral des assurances I 54/03 du 13 janvier 2004 consid. 3.2 et aux arrêts du Tribunal fédéral 8C_93/2017 du 30 mai 2017 consid. 4.3.3 et C_692/2018 du 19 décembre 2018 consid. 4.2.2. À en suivre la recourante, il suffirait d’attendre la période nécessaire pour remplir les conditions de cotisation pour ensuite plaider une survenance d’invalidité et ouvrir le droit aux prestations. Toute atteinte préexistante à l’entrée sur le territoire pourrait alors être déclarée comme survenue postérieurement, puisqu’un droit aux prestations ne serait pas ouvert initialement. Une telle interprétation mènerait en outre à une discrimination des personnes basée sur leur statut civil, les personnes mariées pouvant alors prétendre à des prestations suite à une modification de la composition de leur ménage alors que les personnes célibataires avec les mêmes empêchements ne le pourraient pas. Il importait en effet de fixer la survenance de l’invalidité conformément à la règle posée par la jurisprudence, à savoir au plus tôt lorsqu’une incapacité de travail d’au moins 40% avait duré une année au moins, en ce qui concernait le droit à la rente. Il n’était pas contesté que la recourante était en incapacité totale de travailler dans toute activité professionnelle depuis le 5 décembre 2015. Un potentiel droit à la rente était donc ouvert dès le 5 décembre 2016, moment qui devait être retenu comme date de survenance du cas d’invalidité. Il était manifeste qu’à cette date, la recourante ne comptait pas les trois années de cotisation selon l’art. 36 al. 1 LAI. C’était donc à juste titre que l’intimé avait rejeté sa demande de prestations.</w:t>
      </w:r>
    </w:p>
    <w:p>
      <w:r>
        <w:rPr>
          <w:b/>
        </w:rPr>
        <w:t>E. 27</w:t>
      </w:r>
    </w:p>
    <w:p>
      <w:r>
        <w:t>Selon l’extrait du compte individuel de l’époux de la recourante, celui-ci a cotisé de 2014 à 2020 pour des montants variant entre CHF 14'928.- (en 2014) et CHF 63'400.- (en 2019).</w:t>
      </w:r>
    </w:p>
    <w:p>
      <w:r>
        <w:rPr>
          <w:b/>
        </w:rPr>
        <w:t>E. 28</w:t>
      </w:r>
    </w:p>
    <w:p>
      <w:r>
        <w:t>Le 8 avril 2021, l’intimé a relevé que dans la mesure où l’époux de la recourante avait commencé à cotiser en octobre 2014, soit deux ans avant la survenance de l’invalidité de son épouse, les conditions de l’art. 36 al. 1 n’étaient pas réalisées.</w:t>
      </w:r>
    </w:p>
    <w:p>
      <w:r>
        <w:rPr>
          <w:b/>
        </w:rPr>
        <w:t>E. 29</w:t>
      </w:r>
    </w:p>
    <w:p>
      <w:r>
        <w:t>Selon le fichier de l’office cantonal de la population et des migrations, la recourante est séparée depuis le 1er octobre 2019. EN DROIT 1. Conformément à l'art. 134 al. 1 let. a ch. 2 de la loi sur l'organisation judiciaire, du 26 septembre 2010 (LOJ - E 2 05), la chambre des assurances sociales de la Cour de justice connaît, en instance unique, des contestations prévues à l'art. 56 LPGA relatives à la LAI. Sa compétence pour juger du cas d’espèce est ainsi établie.</w:t>
      </w:r>
    </w:p>
    <w:p>
      <w:r>
        <w:t>A/2015/2020 - 7/15 - 2. Interjeté dans la forme et le délai prévus par la loi, le recours est recevable (art. 56 ss LPGA et 62 ss LPA). 3. Le litige porte sur le droit de la recourante à une rente d’invalidité. 4. a. Dans un grief d'ordre formel qu'il convient d'examiner en premier, la recourante se plaint d'une violation de son droit d'être entendue, estimant la motivation de la décision attaquée insuffisante. b. La jurisprudence a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La motivation peut d'ailleurs être implicite et résulter des différents considérants de la décision (ATF 141 V 557 consid. 3.2.1 p. 564 ; arrêt du Tribunal fédéral 9C_603/2015 du 25 avril 2016). c. En l’espèce, la motivation de la décision querellée est certes brève, mais elle permet de comprendre pour quelles raisons l’intimé a estimé que la recourante ne remplissait pas les conditions pour se voir reconnaître le droit à une rente d’invalidité. Ce premier grief doit en conséquence être écarté. 5.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références). Par le biais de la reconsidération, on corrigera une application initiale erronée du droit, de même qu’une constatation erronée résultant de l’appréciation des faits. La reconsidération est une faculté et non une obligation. Le refus d'entrer en matière sur le demande de reconsidération d'une décision entrée en force n'est pas attaquable (ATF 117 V 8). 6. Lorsque l'assuré dépose une nouvelle demande de prestations, après que l’OAI lui a refusé tout droit à celle-ci dans un premier temps, l’examen matériel doit être effectué de manière analogue à celui d'un cas de révision au sens de l'art. 17 al. 1</w:t>
      </w:r>
    </w:p>
    <w:p>
      <w:r>
        <w:t>A/2015/2020 - 8/15 - LPGA (ATF 133 V 108 consid. 5; ATF 130 V 343 consid. 3.5.2; ATF 130 V 71 consid. 3.2; cf. arrêt du Tribunal fédéral 9C_899/2015 du 4 mars 2016 consid. 4.1).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cas échéant - en cas d'indices d'une modification des effets économiques - une comparaison des revenus conformes au droit qui constitue le point de départ temporel pour l’examen d’une modification du degré d’invalidité lors d’une nouvelle révision de la rente (ATF 133 V 108 consid. 5.4; ATF 130 V 343 consid. 3.5.2; arrêt du Tribunal fédéral 9C_685/2011 du 6 mars 2012 consid. 5.1). 7.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w:t>
      </w:r>
    </w:p>
    <w:p>
      <w:r>
        <w:t>A/2015/2020 - 9/15 - 8. a.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b.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une telle enquête a valeur probante. c.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w:t>
      </w:r>
    </w:p>
    <w:p>
      <w:r>
        <w:t>A/2015/2020 - 10/15 - Tribunal fédéral 8C_312/2016 du 13 mars 2017 consid. 5.4; arrêts du Tribunal fédéral des assurances I 43/05 du 30 juin 2006 consid. 5.2). d.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9. En vertu des art. 28 al. 1 et 29 al. 1 LAI (dans leur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10. En vertu de l’art. 6 al. 1 LAI, les ressortissants suisses et étrangers, ainsi que les apatrides ont droit aux prestations de l’assurance-invalidité conformément aux dispositions légales. L’al. 2 de cette même disposition précise que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Selon l’art. 36 al. 1 LAI, a droit à une rente ordinaire l’assuré qui, lors de la survenance de l’invalidité, compte trois années au moins de cotisations. Cette condition de durée minimale de cotisations de trois années est réalisée lorsque la personne a été assurée obligatoirement ou facultativement pendant plus de deux années et onze mois au total et que, pendant cette période, elle a versé la cotisation minimale, était mariée avec un conjoint ayant versé au moins le double de la cotisation minimale ou avait droit à la prise en compte de bonifications pour tâches éducatives ou d’assistance (art. 29 al. 1 LAVS et 50 RAVS). Selon l’art. 4 al. 2 LAI, l’invalidité (art. 8 LPGA) est réputée survenue dès qu’elle est, par sa nature ou sa gravité, propre à ouvrir droit aux prestations entrant en considération. Le moment de la survenance de l’invalidité ne dépend ni de la date à laquelle la demande est présentée, ni de celle à partir de laquelle une prestation est requise et il ne coïncide pas nécessairement avec le moment où l’assuré apprend pour la première fois que l’atteinte à la santé peut ouvrir droit à des prestations. Pour</w:t>
      </w:r>
    </w:p>
    <w:p>
      <w:r>
        <w:t>A/2015/2020 - 11/15 - déterminer si l’invalidité est survenue, on raisonne en fonction des prestations qui peuvent entrer en considération en tenant compte de l’âge de l’assuré, de la nature et de la gravité de l’atteinte à la santé. Pour le droit à une rente, l’invalidité est réputée survenue dès que ce degré est atteint, c’est-à-dire au moment où la personne assurée présente une incapacité de travail d’au moins 40% en moyenne depuis une année sans interruption notable et qu’une fois le délai d’attente écoulé cette incapacité perdure à 40% au moins (art. 28 al. 1 let. b LAI et 29 LAI ; Michel VALTERIO, Commentaire, Loi fédérale sur l'assurance-invalidité (LAI), 2018, n. 36 et 39 ad. 4). La survenance du cas d’assurance est déterminante pour la réalisation des conditions d’assurance. Les conditions d’assurance doivent être remplies au moment de la survenance de l’invalidité (ATF 126 V 5 consid. 2c, 114 V 13 consid. 2b et 111 V 110 consid. 3d). Lorsqu'un assuré qui n'exerçait pas d'activité lucrative au moment de la survenance d'une atteinte à sa santé peut encore accomplir ses travaux habituels dans une mesure supérieure à 60%, les conditions matérielles du droit à la rente ne sont en principe pas réunies et l'invalidité n'est pas réputée survenue tant que cette situation demeure (détermination de l'invalidité selon la méthode spécifique pour les non- actifs : art. 5 al. 1 et 28 al. 3 LAI, en corrélation avec l'art. 27 al. 1 RAI, dans leur teneur en vigueur jusqu'au 31 décembre 2002; cf. ATF 104 V 136 consid. 2a; VSI 1997 p. 304 consid. 4a). S'il s'avère ultérieurement qu'en raison de changements dans sa situation économique et personnelle, cette personne reprendrait l'exercice d'une activité lucrative, mais qu'elle en est empêchée par son état de santé déficient, elle pourra exiger, pour l'avenir, que son taux d'invalidité soit évalué selon la méthode générale de comparaison des revenus, conformément à l'art. 28 al. 2 LAI, dans sa teneur en vigueur jusqu'au 31 décembre 2002 (cf. ATF 117 V 194 consid. 3b et 4, 115 V 62 consid. 2c non publié, 101 V 203 consid. 1a non publié; VSI 1996 p. 209 consid. 1c; sur la méthode générale de comparaison des revenus, voir les ATF 128 V 30 consid. 1 et 104 V 136 consid. 2a et 2b). Si le taux d'invalidité qui en résulte lui ouvre droit à une rente, l'invalidité sera réputée survenue, en règle générale, à l'échéance du délai d'attente prévu à l'art. 29 al. 1 let. b LAI, ce délai commençant à courir au plus tôt lorsque le changement de méthode d'évaluation de l'invalidité est devenu approprié (ATF 101 V 205 consid. 2c ; Tribunal fédéral des assurances I 780/02 1er mai 2003). Par application des principes figurant aux art. 29 al. 1 LAVS et 50 RAVS, la condition de durée minimale de cotisations de trois années est réalisée lorsque la personne a été assurée obligatoirement ou facultativement pendant plus de deux ans et onze mois au total. Cette condition est considérée comme étant réalisée lorsque durant cette période : - elle a versé la cotisation minimale, ou ;</w:t>
      </w:r>
    </w:p>
    <w:p>
      <w:r>
        <w:t>A/2015/2020 - 12/15 - - en tant que personne sans activité lucrative, elle était mariée ou vivait sous le régime du partenariat enregistré avec une personne qui avait versé au moins le double de la cotisation minimale (par cotisations équivalant au double de la cotisation minimale, il faut entendre un montant forfaitaire indépendant de la durée d’assujettissement de l’époux sans activité lucrative qui est réputée avoir payé lui-même des cotisations (VSI III 2001 p. 175 consid. 4, p. 178, ou encore ; - elle a droit à la prise en compte de bonifications pour tâches éducatives ou pour tâches d’assistance (Michel VALTERIO, op. cit. n. 2 ad art. 36). Selon l’art. 36 al. 2 LAI, les dispositions de la LAVS sont applicables par analogie au calcul des rentes ordinaires. Le Conseil fédéral peut édicter des dispositions complémentaires. Selon le ch. 5027 des Directives concernant les rentes (DR), les périodes durant le mariage pour lesquelles les cotisations sont réputées avoir été payées conformément à l’art. 3 al. 3 LAVS sont prises en compte en tant que périodes de cotisations. Ces règles valent également pendant l’année civile de la conclusion et de la dissolution du mariage suite à un divorce ou à un veuvage (cf. VSI 1/2002 p. 27s.; ch. 2071ss DIN). Selon le ch. 5029 DR, il faut, pour qu’une période déterminée puisse être prise en compte comme année de cotisations entière, que le conjoint qui exerce une activité lucrative ait versé des cotisations équivalant au moins au double de la cotisation minimale. Il n’est par contre pas nécessaire que le conjoint exerçant une activité lucrative ait été assuré durant l’année entière. À cet égard, il y a lieu de compter l’année entière en tant que durée de cotisations si le compte individuel du conjoint exerçant une activité lucrative fait ressortir, pour l’année considérée, des inscriptions qui atteignent, au moins, les montants des revenus figurant dans l’appendice I des présentes Directives. Selon l’art. 10 al. 1 LAVS, dans sa teneur dès le 1er janvier 2013, les assurés n’exerçant aucune activité lucrative paient une cotisation selon leur condition sociale. La cotisation minimale est de CHF 392.-, la cotisation maximale correspond à 50 fois la cotisation minimale (même montant jusqu’au 31 décembre 2018). 11. a. En l’espèce, la recourante n’a pas recouru contre la décision de l’intimé du 14 mars 2018, qui retenait que son statut était celui d’une personne entièrement occupée aux travaux habituels. Cette décision est entrée en force et ne peut donc plus être remise en cause dans le cadre de la présente procédure. L’intimé pourrait revenir sur cette décision, en vertu de l’art. 53 al. 2 LPGA, à condition qu’elle apparaissait manifestement erronée et que sa rectification revête une importance notable. Il s’agit là toutefois d’une faculté et non d’une obligation et la chambre de céans ne peut contraindre l’intimé à reconsidérer sa décision sur ce</w:t>
      </w:r>
    </w:p>
    <w:p>
      <w:r>
        <w:t>A/2015/2020 - 13/15 - point. En l’occurrence, l’intimé n’est pas revenu sur sa première décision et persiste à considérer que la recourante a un statut de ménagère. b. La recourante a fait valoir un fait nouveau, au sens de l’art. 17 LPGA, à savoir qu’elle s’est séparée de son époux depuis mars 2018 et qu’elle aurait de ce fait cherché à travailler à temps plein si elle n’était pas atteinte dans sa santé. Elle estime, en conséquence, avoir depuis mars 2018 un statut d’active. Ce fait nouveau justifie une révision de son statut dans le cadre de la présente procédure, car il rend vraisemblable qu’en bonne santé, la recourante aurait, suite à sa séparation, cherché à travailler, au moins à temps partiel, au vu de sa situation sociale précaire. L’on peut se demander à quel taux la recourante aurait travaillé sans invalidité depuis sa séparation. Un temps plein apparaît beaucoup pour une mère devant s’occuper seule de trois enfants, dont un fils autiste et un enfant de 4 ans. Il apparaît plus vraisemblable qu’elle aurait travaillé à 80% ou 50% dans ces circonstances. Cette question peut toutefois rester ouverte, dès lors que même en prenant l’hypothèse la moins favorable à la recourante, soit une activité professionnelle à 50%, elle a droit une rente entière d’invalidité, étant rappelé qu’il n’est pas contesté qu’elle est totalement incapable de travailler depuis le 5 décembre 2015, selon l’avis du SMR du 8 janvier 2020 : - 100% d’incapacité de travail x 50% de taux d’activité professionnelle = 50% - 52% d’empêchements x 50% d’activité ménagère = 26% Soit un taux d’invalidité global de 76%, qui ouvre à la recourante le droit une rente entière dès le 1er mars 2019, soit un an après son changement de statut et plus de six mois après sa nouvelle demande de prestation du 28 mai 2018. 12. Reste à déterminer si la recourante remplit la condition des trois ans de cotisations lors de la survenue de l’invalidité, selon l’art. 36 al. 1 LAI. Il résulte de la jurisprudence du Tribunal fédéral précitée (cf. ATF 117 V 194 consid. 3b et 4, 115 V 62 consid. 2c non publié, 101 V 203 consid. 1a non publié; VSI 1996 p. 209 consid. 1c) que tant que le taux d’invalidité n’est pas d’au moins 40%, selon la méthode de calcul applicable au cas d’espèce, l’invalidité du point de vue du droit à une rente n’est pas survenue. Cela signifie que l’invalidité de la recourante n’est pas survenue en 2016, comme l’a retenu l’intimé, puisque son taux d’invalidité était alors inférieur à 40%. Le fait qu’elle était totalement incapable de travailler ne permet pas de retenir que l’invalidité était survenue, dès lors qu’elle avait alors un statut de non active, pour lequel l’invalidité dépend des empêchements dans la sphère de travaux ménagers. Dès le changement de statut de la recourante, soit dès mars 2018 suite à sa séparation, le délai de carence d’un an a commencé à courir et à l’échéance de celui-ci, en mars 2019, elle était totalement incapable de travailler et son taux d’invalidité était de 76% au moins, en tenant compte d’un statut mixte de 50/50. Il</w:t>
      </w:r>
    </w:p>
    <w:p>
      <w:r>
        <w:t>A/2015/2020 - 14/15 - en résulte que son invalidité est survenue en mars 2019. À cette date, elle comptait plus de trois ans de cotisation, selon les 29 al. 1 LAVS et 50 RAVS, dès lors qu’elle était mariée depuis le 23 septembre 2013, qu’elle n’exerçait pas d’activité lucrative et que son époux avait cotisé plus du double de la cotisation minimale de CHF 392.-, selon l’art. 10 al. 1 LAVS, entre 2016 et 2019. La recourante a ainsi droit à une rente entière d’invalidité dès le 1er mars 2019. La jurisprudence invoquée par l’intimé (arrêt du Tribunal fédéral des assurances I 54/03 du 13 janvier 2004 consid. 3.2 et arrêt du Tribunal fédéral 8C_93/2017 du 30 mai 2017 consid. 4.3.3 et arrêt 9C_692/2018 du 19 décembre 2018 consid. 4.2.2.) n’est pas pertinente en l’espèce, car elle concerne des cas différents dans lesquels une rente avait été refusée à des personnes qui ne comptaient pas un nombre d’années de cotisation suffisant au moment de la survenance de l'invalidité et qui se prévalaient d’un nouveau cas d’assurance. Dans le cas de la recourante, l’invalidité n’est en effet pas survenue alors qu’elle ne remplissait pas la condition des trois ans de cotisations et elle ne se prévaut pas d’un nouveau cas d’assurance, mais d’un changement de statut. 13. Le recours doit en conséquence être admis, la décision querellée annulée et il sera dit que la recourante a droit à une rente entière d’invalidité dès le 1er mars 2019. 14. La recourante obtenant gain de cause et étant représentée, une indemnité de CHF 2'000.- lui sera accordée à titre de participation à ses frais et dépens (art. 61 let. g LPGA; art. 6 du règlement sur les frais, émoluments et indemnités en matière administrative du 30 juillet 1986 [RFPA - E 5 10.03]). 15. Un émolument de CHF 200.- sera mis à la charge de l'intimé (art. 69 al. 1bis LAI).</w:t>
      </w:r>
    </w:p>
    <w:p>
      <w:r>
        <w:t>A/2015/2020 - 15/15 -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