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ATAS/457/2017 vom 6. Juni 2017</w:t>
      </w:r>
    </w:p>
    <w:p>
      <w:r>
        <w:t>GE Cour de justice, 2017-06-06, FR</w:t>
      </w:r>
    </w:p>
    <w:p>
      <w:r>
        <w:rPr>
          <w:b/>
        </w:rPr>
        <w:t xml:space="preserve">Quelle: </w:t>
      </w:r>
      <w:r>
        <w:t>https://mcp.opencaselaw.ch/entscheid/ge_gerichte_ATAS_457_2017</w:t>
      </w:r>
    </w:p>
    <w:p>
      <w:r>
        <w:t>FR: GE_GERICHTE ATAS/457/2017 du 6 juin 2017</w:t>
      </w:r>
    </w:p>
    <w:p>
      <w:r>
        <w:t>IT: GE_GERICHTE ATAS/457/2017 del 6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L’objet du litige porte sur le droit du recourant à une rente d’invalidité supérieure à une demi-rente, singulièrement sur l’évolution de sa capacité de travail.</w:t>
      </w:r>
    </w:p>
    <w:p>
      <w:r>
        <w:t>A/331/2017 - 7/11 -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A/331/2017 - 8/11 -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Lorsque le Tribunal cantonal des assurances (respectivement le Tribunal administratif fédéral)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 arrêt du Tribunal fédéral 9C_646/2010 du 23 février 2011 consid. 4).</w:t>
      </w:r>
    </w:p>
    <w:p>
      <w:r>
        <w:rPr>
          <w:b/>
        </w:rPr>
        <w:t>E. 10</w:t>
      </w:r>
    </w:p>
    <w:p>
      <w:r>
        <w:t>En l’espèce, du point de vue psychiatrique, l’expertise du 29 février 2016 et la constatation d’une capacité de travail du recourant restreinte de 50 % pour des motifs psychique est admise par les parties.</w:t>
      </w:r>
    </w:p>
    <w:p>
      <w:r>
        <w:t>A/331/2017 - 9/11 - Du point de vue somatique, l’intimé s’est référé à l’avis du SMR du 22 mars 2017 mentionnant un avis du Dr B______ du 27 septembre 2013 selon lequel le cancer du recourant ne concernait pas l’incapacité de travail. Or, l’avis du Dr B______ a été rendu plus d’une année avant l’intervention subie par le recourant de résection abdomino-périnéale du 14 octobre 2014, ayant entrainé la pose d’une poche. L’intimé a ensuite, dans le cadre de la présente procédure, exposé qu’il avait interpellé récemment le SMR lequel avait considéré que les conséquences de l’intervention d’octobre 2014 n’empêchaient pas le recourant de travailler dans l’activité habituelle de réceptionniste (procès-verbal d’audience du 22 mai 2017). Le recourant conteste la capacité de travail retenue par l’intimé. A cet égard, le Dr DE E_____ a relevé qu’une reprise d’une activité à 50 % était concevable si le travail était adapté, soit sédentaire avec possibilité de réaliser les soins de stomie (avis du 29 juillet 2015). Les experts G_____ et H_____ ont également souligné que la capacité de travail de 50 % ne prenait pas en considération les limitations liées aux problèmes physiques du recourant et qu’une activité exigible devait respecter le besoin du recourant de se retirer pour changer sa poche quand il le jugeait nécessaire et prendre en compte le sentiment d’embarras et d’inconfort lié aux bruits intestinaux (expertise du 29 février 2016). Le recourant a lui-même expliqué lors de l’audience de comparution personnelle des parties du 22 mai 2017 qu’il était toujours en examens aux HUG et que son état de santé s’était dégradé suite à la pose de la poche en octobre 2014, avec l’apparition de fatigue et d’inconfort dû au port permanent de la poche (procès-verbal d’audience du 22 mai 2017). La chambre de céans constate ainsi que l’instruction du dossier est lacunaire du point de vue somatique, les conséquences de l’intervention d’octobre 2014 sur l’état de santé du recourant et sa capacité de travail n’ayant pas été investiguées du tout. Par ailleurs, le recourant a fait état, lors de l’audience du 22 mai 2017, de complications au niveau urinaire et a fourni une convocation du service de chirurgie urologique des HUG pour une intervention programmée le 2 juin 2017, en expliquant qu’une récidive tumorale était suspectée. Il se pourrait, dans ces conditions, qu’une aggravation de l’état de santé du recourant soit survenue avant la décision litigieuse du 12 janvier 2017. Pour cette raison également, une instruction médicale somatique se justifie. En conséquence, il incombera à l’intimé de procéder à une instruction médicale, en questionnant notamment les médecins du recourant, pour évaluer précisément les limitations fonctionnelles somatique de celui-ci et fixer sa capacité de travail.</w:t>
      </w:r>
    </w:p>
    <w:p>
      <w:r>
        <w:rPr>
          <w:b/>
        </w:rPr>
        <w:t>E. 11</w:t>
      </w:r>
    </w:p>
    <w:p>
      <w:r>
        <w:t>Au vu de ce qui précède, le recours sera admis, la décision litigieuse partiellement annulée en ce qu’elle refuse au recourant une rente supérieure à une demi-rente</w:t>
      </w:r>
    </w:p>
    <w:p>
      <w:r>
        <w:t>A/331/2017 - 10/11 - d’invalidité, et la cause renvoyée à l’intimé pour instruction complémentaire et nouvelle décision. L’octroi d’une demi-rente n’étant pas contesté, il est confirmé. Pour le surplus, la procédure est gratuite.</w:t>
      </w:r>
    </w:p>
    <w:p>
      <w:r>
        <w:t>A/331/2017 - 11/11 -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