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ATAS/456/2021 vom 11. Mai 2021</w:t>
      </w:r>
    </w:p>
    <w:p>
      <w:r>
        <w:t>GE Cour de justice, 2021-05-11, FR</w:t>
      </w:r>
    </w:p>
    <w:p>
      <w:r>
        <w:rPr>
          <w:b/>
        </w:rPr>
        <w:t xml:space="preserve">Quelle: </w:t>
      </w:r>
      <w:r>
        <w:t>https://mcp.opencaselaw.ch/entscheid/ge_gerichte_ATAS_456_2021</w:t>
      </w:r>
    </w:p>
    <w:p>
      <w:r>
        <w:t>FR: GE_GERICHTE ATAS/456/2021 du 11 mai 2021</w:t>
      </w:r>
    </w:p>
    <w:p>
      <w:r>
        <w:t>IT: GE_GERICHTE ATAS/456/2021 del 11 maggio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142a du Code civil [CC - RS 210]). Sa compétence pour juger du cas d’espèce est ainsi établie.</w:t>
      </w:r>
    </w:p>
    <w:p>
      <w:r>
        <w:rPr>
          <w:b/>
        </w:rPr>
        <w:t>E. 2</w:t>
      </w:r>
    </w:p>
    <w:p>
      <w:r>
        <w:t>En matière de prévoyance professionnelle, le for de l’action est au siège ou au domicile suisse du défendeur ou au lieu de l’exploitation dans laquelle l’assuré a été engagé (art. 73 al. 3 LPP). En l’occurrence, l’assuré a travaillé en dernier lieu pour l’entreprise C______ SA, sise dans le canton de Genève. La chambre de céans est donc compétente à raison du lieu et de la matière pour juger du cas d’espèce.</w:t>
      </w:r>
    </w:p>
    <w:p>
      <w:r>
        <w:t>A/1125/2020 - 13/20 -</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w:t>
      </w:r>
    </w:p>
    <w:p>
      <w:r>
        <w:rPr>
          <w:b/>
        </w:rPr>
        <w:t>E. 4</w:t>
      </w:r>
    </w:p>
    <w:p>
      <w:r>
        <w:t>Le litige porte sur le droit du demandeur au versement, par la défenderesse, d’une rente d’invalidité de la prévoyance professionnelle, assortie de rentes complémentaires pour enfants.</w:t>
      </w:r>
    </w:p>
    <w:p>
      <w:r>
        <w:rPr>
          <w:b/>
        </w:rPr>
        <w:t>E. 5</w:t>
      </w:r>
    </w:p>
    <w:p>
      <w:r>
        <w:t>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 En l’espèce, le demandeur a travaillé, du 9 août 1999 au 31 décembre 2002, auprès de l’entreprise C______ SA, qui l’a licencié. À ce titre, il a été assuré pour la prévoyance professionnelle auprès de la défenderesse jusqu’au 31 janvier 2003, soit un mois après la fin des rapports de travail (cf. art. 10 al. 3 LPP). Il convient d’examiner, ci-après, si le demandeur était assuré auprès de la défenderesse lorsqu’est survenue l’incapacité de travail à l’origine de son invalidité.</w:t>
      </w:r>
    </w:p>
    <w:p>
      <w:r>
        <w:rPr>
          <w:b/>
        </w:rPr>
        <w:t>E. 6</w:t>
      </w:r>
    </w:p>
    <w:p>
      <w:r>
        <w:t>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de 70 % au moins au sens de l’AI.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de la loi fédérale sur l’assurance-invalidité du 19 juin 1959 (LAI - RS 831.20), mais correspond à la survenance de l’incapacité de travail dont la cause est à l’origine de l’invalidité ; les</w:t>
      </w:r>
    </w:p>
    <w:p>
      <w:r>
        <w:t>A/1125/2020 - 14/20 -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L’atteinte à la santé responsable de la survenance de l’incapacité de travail initiale est à comparer au tableau clinique qui a conduit plus tard à l’attribution d’une rente d’invalidité (arrêt du Tribunal fédéral des assurances B.48/05 du 25 avril 2006 consid. 4).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w:t>
      </w:r>
    </w:p>
    <w:p>
      <w:r>
        <w:t>A/1125/2020 - 15/20 -</w:t>
      </w:r>
    </w:p>
    <w:p>
      <w:r>
        <w:rPr>
          <w:b/>
        </w:rPr>
        <w:t>E. 7</w:t>
      </w:r>
    </w:p>
    <w:p>
      <w:r>
        <w:t>a. Selon la jurisprudence, l’on entend par incapacité de travail toute perte ou diminution de la capacité de rendement de l’assuré dans sa profession ou son domaine d’activité. Afin que cette perte puisse devenir pertinente pour le droit de la prévoyance, elle doit qualitativement atteindre une certaine importance. Ainsi, une perte d’au moins 20 %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 b.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médicales spéculatives, telles que par exemple une incapacité de travail établie rétroactivement de manière médico-théorique après de nombreuses années, ne suffisent pas (arrêts du Tribunal fédéral 9C_162/2013 du</w:t>
      </w:r>
    </w:p>
    <w:p>
      <w:r>
        <w:rPr>
          <w:b/>
        </w:rPr>
        <w:t>E. 8</w:t>
      </w:r>
    </w:p>
    <w:p>
      <w:r>
        <w:t>Conformément à l’art. 26 al. 1 LPP, les dispositions de la LAI s’appliquent par analogie à la naissance du droit aux prestations d’invalidité. Si une institution de prévoyance reprend - explicitement ou par renvoi - la définition de l’invalidité de l’assurance-invalidité (ce qui est le cas en l’espèce, cf. art. 8 du règlement de prévoyance de la défenderesse, édition 1990),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Cependant, l’office AI est tenu de notifier d’office une décision de rente à toutes les institutions de prévoyance entrant en considération</w:t>
      </w:r>
    </w:p>
    <w:p>
      <w:r>
        <w:t>A/1125/2020 - 17/20 - (ATF 129 V 73).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10</w:t>
      </w:r>
    </w:p>
    <w:p>
      <w:r>
        <w:t>En l’espèce, le demandeur réclame le versement, de la part de la défenderesse, d’une rente entière d’invalidité et de rentes complémentaires pour enfants, ce que la défenderesse refuse d’allouer, en invoquant l’absence de connexité matérielle et temporelle entre l’incapacité de travail invoquée par le demandeur dès le mois de mars 2002 (suite à son opération du genou gauche) et l’invalidité qui lui a été reconnue par la CJCAS dès le mois de septembre 2007. Il convient donc d’examiner s’il existe un lien de connexité entre les pathologies ayant justifié l’octroi d’une rente entière de l’assurance-invalidité dès le mois de septembre 2007 et celles qui étaient à l’origine de l’incapacité de travail invoquée dès le mois de mars 2002, c’est-à-dire pendant l’affiliation auprès de la défenderesse (laquelle s’est étendue du 9 août 1999 au 31 janvier 2003).</w:t>
      </w:r>
    </w:p>
    <w:p>
      <w:r>
        <w:rPr>
          <w:b/>
        </w:rPr>
        <w:t>E. 11</w:t>
      </w:r>
    </w:p>
    <w:p>
      <w:r>
        <w:t>a. Il ressort de l’arrêt entré en force du 8 avril 2014 que la CJCAS a accordé la rente entière d’invalidité dès le 1er septembre 2007, sur la base des conclusions de l’expertise psychiatrique du Dr P______. Après avoir diagnostiqué un état de stress post-traumatique (F 43.1), une modification durable de la personnalité consécutive à une expérience de catastrophe (F 62.0), et un trouble dépressif récurrent, épisode actuel sévère sans symptôme psychotique (F 33.2), l’expert judiciaire a conclu que le demandeur présentait, depuis qu’il avait été hospitalisé en septembre 2006, une incapacité de travail dans toute activité de 80 % à 90 % au minimum, et de 90 % à 100 % lors de rechutes dépressives. À cet égard, l’expert a précisé que l’état psychique du demandeur s’était « dramatiquement effondré » en 2006, dans le contexte d’une séparation, puis d’un divorce et enfin de la perte par l’intéressé de la garde de son fils, ce dont il avait résulté un effondrement narcissique important, avec des troubles du comportement tendant à la violence et un épisode dépressif sévère (expertise du Dr P______, p. 13). Il appert ainsi que l’octroi de la rente</w:t>
      </w:r>
    </w:p>
    <w:p>
      <w:r>
        <w:t>A/1125/2020 - 18/20 - d’invalidité dès le 1er septembre 2007 est fondé sur une incapacité de travail d’ordre psychique ayant débuté en septembre 2006. b. Contrairement à ce que soutient le demandeur, on ne saurait déduire de l’expertise du Dr P______ que l’incapacité de travail de nature psychique à l’origine de l’invalidité aurait débuté en mars 2002, c’est-à-dire à l’occasion d’une opération du genou gauche (méniscectomie partielle de la corne postérieure du ménisque interne et plastie du ligament croisé antérieur). En effet, l’expert psychiatre a expressément situé le début de l’incapacité de travail, non pas en mars 2002, mais au moment où le demandeur avait été hospitalisé à Belle-Idée, en septembre 2006 (cf. expertise du Dr P______, p. 14). Par ailleurs, l’expert a indiqué que si des symptômes avaient pu exister depuis l’arrivée en Suisse de l’intéressé, ce dernier n’avait jamais récupéré depuis la décompensation psychique ayant nécessité des soins aigus au Centre de thérapies brèves, puis une hospitalisation en 2006. L’expert a précisé que c’était cette décompensation qui constituait « la période de référence de la maladie » (cf. expertise précitée, p. 13), ce par quoi il faut comprendre l’événement ayant déclenché l’incapacité de travail. S’il est vrai que, comme l’invoque le demandeur, l’expert a indiqué que la capacité de travail pourrait avoir été diminuée déjà « lors des interventions chirurgicales » – donc antérieurement à l’hospitalisation à Belle-Idée –, le Dr P______ n’a évoqué à cet égard qu’une simple hypothèse et non un fait établi, puisqu’il a parallèlement souligné le fait qu’aucune évaluation psychiatrique n’avait été effectuée à l’époque desdites interventions (cf. expertise précitée, p. 16). La simple mention par l’expert du fait que « l’assuré ne s’est jamais sorti de cette intervention », en référence à l’opération de 2002, ne permet pas d’aboutir à une autre conclusion. Dans ce contexte, il est décisif que l’expert n’ait pas retenu d’incapacité de travail d’ordre psychique avant le mois de septembre 2006, comme on l’a déjà dit. c. Il convient encore de rappeler que, selon la jurisprudence, ce n’est pas le moment où un phénomène pathologique a commencé à se développer qui est déterminant, mais celui où ce phénomène a atteint une gravité fondant une incapacité de travail significative et durable (arrêt du Tribunal fédéral 9C_315/2013 du 22 octobre 2013 consid. 4.2 et les références citées). Or, aucune incapacité de travail liée à une affection psychique n’a été attestée pendant la période d’affiliation à la défenderesse, soit jusqu’en janvier 2003. En particulier, le caractère incapacitant d’affections psychiques n’a été évoqué ni dans le rapport de la CRR du 6 mars 2003, ni dans le rapport établi par le Dr G______ le 18 avril 2004 (lequel retenait une « dépression réactionnelle », mais sans répercussions sur la capacité de travail). Par ailleurs, le demandeur n’a consulté le Dr H______ qu’à partir du mois de février 2005 et ce psychiatre n’a pas attesté d’un trouble psychique incapacitant dans son rapport du 13 janvier 2006. Ce n’est que dans le rapport établi en août 2007 par la Dresse K______ qu’il a été attesté, en premier lieu, d’une incapacité de travail d’ordre psychique survenue dès le mois de septembre 2006, soit près de quatre ans après la fin de l’affiliation auprès de la défenderesse.</w:t>
      </w:r>
    </w:p>
    <w:p>
      <w:r>
        <w:t>A/1125/2020 - 19/20 - d. S’agissant enfin des troubles du genou gauche (lésions du ligament croisé antérieur, du ménisque et gonarthrose) remontant à la période d’affiliation du demandeur auprès de la défenderesse – lesquels ont justifié une opération en mars 2002, puis la prescription par le Dr F______ de divers certificats d’arrêt de travail – ils n’empêchent pas l’exercice à plein temps (moyennant une légère diminution de rendement de 10 à 15%) d’une activité sédentaire adaptée au membre inférieur gauche, conformément aux conclusions convergentes des experts J______ et N______. Dès lors que le demandeur a cessé d’être affilié à la défenderesse en janvier 2003, l’existence d’un lien de connexité matérielle et temporelle entre les problèmes de santé (somatiques) connus durant l’affiliation et l’incapacité de travail (d’ordre psychique) survenue en septembre 2006 doit être niée (cf. arrêts du Tribunal fédéral 9C_397/2018 du 28 août 2018 consid. 3 ss et 9C_731/2016 du</w:t>
      </w:r>
    </w:p>
    <w:p>
      <w:r>
        <w:rPr>
          <w:b/>
        </w:rPr>
        <w:t>E. 14</w:t>
      </w:r>
    </w:p>
    <w:p>
      <w:r>
        <w:t>La procédure est gratuite (art. 73 al. 2 LPP et art. 89H al. 1 LPA). ******</w:t>
      </w:r>
    </w:p>
    <w:p>
      <w:r>
        <w:t>A/1125/2020 - 20/20 -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