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ATAS/456/2016 vom 13. Juni 2016</w:t>
      </w:r>
    </w:p>
    <w:p>
      <w:r>
        <w:t>GE Cour de justice, 2016-06-13, FR</w:t>
      </w:r>
    </w:p>
    <w:p>
      <w:r>
        <w:rPr>
          <w:b/>
        </w:rPr>
        <w:t xml:space="preserve">Quelle: </w:t>
      </w:r>
      <w:r>
        <w:t>https://mcp.opencaselaw.ch/entscheid/ge_gerichte_ATAS_456_2016</w:t>
      </w:r>
    </w:p>
    <w:p>
      <w:r>
        <w:t>FR: GE_GERICHTE ATAS/456/2016 du 13 juin 2016</w:t>
      </w:r>
    </w:p>
    <w:p>
      <w:r>
        <w:t>IT: GE_GERICHTE ATAS/456/2016 del 13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A/330/2015 - 19/34 -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18 décembre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4</w:t>
      </w:r>
    </w:p>
    <w:p>
      <w:r>
        <w:t>Selon l’art. 60 LPGA, le recours doit être déposé dans les trente jours suivant la notification de la décision sujette à recours. En application de l’art. 38 al. 4 let. c LPGA, les délais en jours ou en mois fixés par la loi ou par l’autorité ne courent pas du 18 décembre au 2 janvier inclusivement. Compte tenu de la suspension du délai de recours durant la période susmentionnée, le recours, adressé par pli postal le 2 février 2015 contre la décision du 18 décembre 2014, interjeté dans la forme et le délai prévus par la loi, est recevable (art. 56ss LPGA; art. 89B de la loi sur la procédure administrative du 12 septembre 1985 [LPA- RS/GE E 5 10]).</w:t>
      </w:r>
    </w:p>
    <w:p>
      <w:r>
        <w:rPr>
          <w:b/>
        </w:rPr>
        <w:t>E. 5</w:t>
      </w:r>
    </w:p>
    <w:p>
      <w:r>
        <w:t>Le litige porte sur la question de savoir si c’est à juste titre que l’intimé a rejeté la nouvelle demande de prestations de la recourante, étant rappelé qu’il lui avait refusé, en juillet 2008, l’octroi d’une rente au motif que son degré d’invalidité était insuffisant.</w:t>
      </w:r>
    </w:p>
    <w:p>
      <w:r>
        <w:rPr>
          <w:b/>
        </w:rPr>
        <w:t>E. 6</w:t>
      </w:r>
    </w:p>
    <w:p>
      <w:r>
        <w:t>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Conformément à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w:t>
      </w:r>
    </w:p>
    <w:p>
      <w:r>
        <w:t>A/330/2015 - 20/34 - modifiée de manière à influencer ses droits. Lorsque la rente a été refusée parce que le degré d’invalidité était insuffisant, la nouvelle demande ne peut être examinée que si les conditions prévues à l’al. 2 sont remplies (cf. art. 87 al. 3 RAI).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w:t>
      </w:r>
    </w:p>
    <w:p>
      <w:r>
        <w:t>A/330/2015 - 21/34 -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A/330/2015 - 22/34 - Les principes jurisprudentiels développés en matière de troubles somatoformes douloureux sont également applicables à la fibromyalgie (ATF 132 V 65 consid. 4.1).</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w:t>
      </w:r>
    </w:p>
    <w:p>
      <w:r>
        <w:t>A/330/2015 - 23/34 -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t>A/330/2015 - 24/34 - 3.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w:t>
      </w:r>
    </w:p>
    <w:p>
      <w:r>
        <w:t>A/330/2015 - 25/34 -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12</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A/330/2015 - 26/34 -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w:t>
      </w:r>
    </w:p>
    <w:p>
      <w:r>
        <w:t>A/330/2015 - 27/34 -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w:t>
      </w:r>
    </w:p>
    <w:p>
      <w:r>
        <w:t>A/330/2015 - 28/34 -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14</w:t>
      </w:r>
    </w:p>
    <w:p>
      <w:r>
        <w:t>En l’espèce, l’intimé est entré en matière sur la nouvelle demande de la recourante et a mis en œuvre une expertise pluridisciplinaire afin de déterminer si son taux d’invalidité s’était notablement modifié depuis la décision initiale du 1er juillet 2008. Se basant sur les appréciations du SMR des 3 juillet et 27 novembre 2014, elles- mêmes fondées sur une partie des conclusions du rapport d’expertise du 4 mars 2014, l’intimé a nié toute aggravation notable de l’état de santé de la recourante et considéré que la capacité de travail demeurait nulle dans la profession habituelle d’aide-soignante et de 70% dans une activité adaptée aux limitations fonctionnelles.</w:t>
      </w:r>
    </w:p>
    <w:p>
      <w:r>
        <w:rPr>
          <w:b/>
        </w:rPr>
        <w:t>E. 15</w:t>
      </w:r>
    </w:p>
    <w:p>
      <w:r>
        <w:t>Étant donné que les experts ont retenu le diagnostic de fibromyalgie, mais exclu toute répercussion de ladite atteinte sur la capacité de travail de la recourante, il sied de déterminer au préalable quels critères jurisprudentiels doivent être appliqués. Interpellé à cet égard, l’intimé a indiqué le 22 juillet 2015 qu’il n’entendait pas appliquer la nouvelle jurisprudence fédérale à la présente cause, au motif qu’ « en matière d’assurances sociales, les règles applicables sont celles en vigueur au moment où les faits juridiquement déterminants se sont produits (ATF 127 V 467 consid. 1). Un changement de jurisprudence n’est un motif ni de révision, ni de</w:t>
      </w:r>
    </w:p>
    <w:p>
      <w:r>
        <w:t>A/330/2015 - 29/34 - reconsidération et ne déploie, en règle ordinaire, des effets que pour l’avenir (ATF 119 V 413 consid. 3a et les références) ». Si une nouvelle jurisprudence ne constitue ni un motif de révision, ni un motif de reconsidération, et qu’elle ne vaut que pour les cas futurs, il importe en revanche de souligner qu’elle s’applique pour les affaires pendantes devant un tribunal au moment du changement de jurisprudence (ATF 108 V 3), de sorte que la modification à laquelle a procédé le Tribunal fédéral dans son arrêt du 3 juin 2015 doit être prise en considération pour résoudre le présent litige. En l’occurrence, les experts ont pris position quant aux anciens critères jurisprudentiels. Leur évaluation ne peut cependant pas être suivie au regard de la nouvelle jurisprudence, parce que l’expertise ne permet pas une appréciation de l’état de santé de la recourante à la lumière des exigences relatives au diagnostic et des indicateurs déterminants. De surcroît, la chambre de céans constate que le rapport d’expertise ne saurait se voir reconnaître une quelconque valeur probante.</w:t>
      </w:r>
    </w:p>
    <w:p>
      <w:r>
        <w:rPr>
          <w:b/>
        </w:rPr>
        <w:t>E. 16</w:t>
      </w:r>
    </w:p>
    <w:p>
      <w:r>
        <w:t>En premier lieu, elle observe qu’en dépit de l’existence avérée de plusieurs atteintes au niveau ophtalmologique et du fait que le SMR avait estimé que les rapports du Dr I______ étaient insuffisants pour évaluer les limitations fonctionnelles et la capacité de travail (avis de la Dresse P______ du 22 novembre 2013), le SMR a finalement renoncé à ce volet de l’expertise, le médecin désigné ayant déjà examiné la recourante, et indiqué qu’il prendrait les renseignements nécessaires auprès de l’ophtalmologue traitant (courriel de la Dresse P______ du 10 février 2014). Le Dr I______ a par la suite rendu deux nouveaux rapports, datés des 13 janvier et 14 octobre 2014. Or, ces documents n’apportent aucune indication précise quant aux restrictions engendrées par les atteintes et quant à leur influence sur la capacité de travail de la recourante, mais attestent bien d’une aggravation des pathologies puisque plusieurs interventions ont dû être pratiquées depuis le 1er juillet 2008, notamment une opération de la cataracte de l’œil gauche en septembre 2008, une opération de la cataracte de l’œil droit en novembre 2008, ainsi que plusieurs injections entre 2008 et 2013, et qu’une membrane néovasculaire sous-rétinienne en région maculaire des deux côtés avaient été découverte en décembre 2013. Dans ces conditions, la détermination du SMR, aux termes de laquelle les limitations fonctionnelles n’auraient pas évolué depuis son appréciation de juin 2008 (rapports de la Dresse U______ des 3 juillet et 27 novembre 2014), ne résulte pas d’investigations complètes. Le défaut d’instruction est d’autant plus inadmissible qu’il a été observé, au jour de l’expertise, que la recourante était incapable de lire et de remplir seule un questionnaire car elle venait d’être opérée au niveau des yeux.</w:t>
      </w:r>
    </w:p>
    <w:p>
      <w:r>
        <w:rPr>
          <w:b/>
        </w:rPr>
        <w:t>E. 17</w:t>
      </w:r>
    </w:p>
    <w:p>
      <w:r>
        <w:t>En deuxième lieu, la chambre de céans constate que les conclusions de l’experte en rhumatologie et médecine interne ne sont pas convaincantes.</w:t>
      </w:r>
    </w:p>
    <w:p>
      <w:r>
        <w:t>A/330/2015 - 30/34 - a. S’agissant des atteintes dorsales, l’experte a diagnostiqué des discopathies C4-C5 et C5-C6, associées à une arthrose interapophysaire postérieure C7-D1, une discopathie D12-L1 avec une ostéophytose antérieure de D9 et une scoliose lombaire. Elle s’est donc écartée de la plupart des constatations des autres médecins ayant été amenés à examiner les documents radiologiques, en ne retenant notamment pas l’existence de scolioses des rachis cervical et dorsal, lesquelles ont pourtant été confirmées à réitérées reprises et à neuf ans d’intervalle (rapports du Dr C______ des 3 novembre 2003, 3 mai 2004 et 26 octobre 2012), d’une diminution de la lordose au niveau cervical, d’un bec ostéophytaire en D8-D9 et D10-D11 (rapports du Dr C______ du 3 novembre 2003 et du Dr F______ du 19 septembre 2007), d’une sténose du canal radiculaire, modérée en C4-C5 et serrée en C5-C6 (rapports de la Dresse E______ du 2 novembre 2006 et du Dr F______ du 19 septembre 2007), d’une protrusion discale en L2-L3, de troubles dégénératifs en L4-L5 et L5-S1 (rapport du Dr F______ du septembre 2007), de rétrolisthésis de C3, L2 et L3 avec un bec ostéophytaire (rapport du Dr C______ du 26 octobre 2012). Sa propre interprétation des images n’est toutefois pas suffisante pour réfuter les conclusions établies par des spécialistes en la matière, de sorte que les atteintes admises par l’experte apparaissent incomplètes. De plus, l’appréciation de la Dresse Q______ selon laquelle l’état de santé de la recourante serait stabilisé en ce qui concerne les atteintes du rachis s’est avérée inexacte puisque les dernières constatations radiologiques attestent d’une aggravation des troubles. En effet, ont été observées une protrusion discale ostéophytaire C5-C6 « plus accusée actuellement » appuyant sur la partie antérieure du fourreau dural et sur la racine C6 droite, une uncarthrose sévère rétrécissant fortement le foramen droit en conflit avec la racine C6 droit dans son trajet foraminal (rapport du Dr C______ du 26 septembre 2014), ou encore une arthrose interapophysaire postérieure étagée avec un épaississement des ligaments jaunes rétrécissant le canal dans le sens latéral, surtout en L3-L4, « plus accusée actuellement » (rapport du Dr C______ du 29 septembre 2014). b. En outre, la Dresse Q______ a considéré que la tendinopathie calcifiante du supra-épineux de l’épaule droite était actuellement à un stade chronique et non évolutif, les images étant stables et sans signe de conflit sous-acromial évident à l’examen. Cette argumentation est difficilement compréhensible, étant rappelé que l’experte a observé que la calcification n’existait pas sur la première échographie, ce qui dénote à l’évidence d’une modification de l’état de santé. De surcroît, son avis semble contradictoire puisqu’elle a conclu, d’une part, à une tendinopathie non évolutive et, d’autre part, que l’évolution « devrait aller vers la guérison ». C’est encore le lieu de relever que l’anamnèse relative à cette atteinte comporte une erreur manifeste en ce qui concerne le traitement, l’experte ayant noté que la recourante « aurait bénéficié de plusieurs infiltrations, dont l’efficacité ne persistait que sur six semaines environ » (rapport p. 23), puis que la recourante « n’a bénéficié que d’un traitement antalgique, mais elle n’a jamais eu ni physiothérapie</w:t>
      </w:r>
    </w:p>
    <w:p>
      <w:r>
        <w:t>A/330/2015 - 31/34 - à ce niveau, ni infiltration » (rapport p. 68). S’agissant des limitations fonctionnelles, l’appréciation de la Dresse Q______ n’est pas persuasive. En effet, elle a admis que la pathologie pouvait occasionnellement être « très douloureuse », mais a exclu toute restriction en lien avec des mouvements des bras au-dessus de l’horizontale au motif que la tendinopathie était « en phase de chronicité » et « ne semblait pas avoir évolué depuis un an et demi » (rapport p. 70). Faute de plus amples explications à ce sujet, la chambre de céans peine à comprendre pour quelle raison le caractère persistant et prétendument stabilisé de la tendinopathie s’opposerait à ce qu’elle engendre des restrictions. En outre, la Dresse Q______ a considéré que la recourante pouvait continuer à exercer la profession d’aide- soignante puisque le port de charges avec soutien des patients n’était pas supérieur à 25 kg de manière itérative et régulière, mais a admis une diminution de rendement de 20% car la recourante avait besoin de plus de temps pour lever les patients (rapport p. 70 et 71). Elle n’a toutefois pas indiqué pour quelle raison la manœuvre précitée, qui pouvait s’avérer très douloureuse, n’était en définitive pas tout simplement contre-indiquée, même si elle n’était qu’occasionnelle. Elle n’a pas plus exposé pour quel motif la recourante aurait besoin de plus de temps pour réaliser de tels mouvements, en particulier si la douleur s’estompait lorsque le geste était réalisé lentement.</w:t>
      </w:r>
    </w:p>
    <w:p>
      <w:r>
        <w:rPr>
          <w:b/>
        </w:rPr>
        <w:t>E. 18</w:t>
      </w:r>
    </w:p>
    <w:p>
      <w:r>
        <w:t>Troisièmement, les conclusions au niveau psychiatrique n’emportent pas la conviction de la chambre de céans non plus. a. Il est relevé tout d’abord que le Dr R______ n’a pratiquement accordé aucun crédit aux déclarations de la recourante, estimant que cette dernière dramatisait et majorait ses plaintes, et était dès lors peu crédible. Il n’a toutefois pas développé les indices qui lui permettaient de considérer que la recourante exagérait ses doléances, mis à part le niveau de la douleur alléguée. Or, eu égard aux nombreuses pathologies citées dans le dossier de l’intimé (atteintes des rachis cervico-dorso- lombaire, de l’épaule, troubles oculaires et diagnostic de fibromyalgie), l’expert aurait dû étayer davantage son argumentation, ce d’autant plus qu’il a relevé que la recourante s’était régulièrement levée pour se détendre le dos (rapport p. 90). De plus, le Dr R______ a essentiellement basé sa détermination sur l’anamnèse et le contenu des rapports des autres médecins, et non pas sur propres observations. Son examen clinique semble d’ailleurs peu fiable puisqu’il a mentionné que la recourante acquiesçait systématiquement à toutes ses propositions, ce qui rendait « peu compte de la réalité de sa situation clinique » (rapport p. 91); l’analyse des diagnostics majeurs était « rendue difficile devant une franche note de dramatisation et l’impossibilité pour l’investiguée de répondre clairement aux questions » (rapport p. 91). Les plaintes de la recourante quant à ses difficultés à se concentrer étaient « difficiles à évaluer de manière efficiente » (rapport p. 92). Il a également noté qu’il était « difficile d’avoir une idée claire de la situation clinique et de la réalité des plaintes, compte tenu des réponses un peu automatisées et, en quelque sorte, obligatoirement graves » (rapport p. 94).</w:t>
      </w:r>
    </w:p>
    <w:p>
      <w:r>
        <w:t>A/330/2015 - 32/34 - Il est également singulier que l’expert ait nié l’existence d’un trouble dépressif, pourtant signalé par plusieurs médecins (rapports de la Dresse K______ du 7 décembre 2012, du Dr N______ du 29 avril 2013, de la Dresse T______ du 20 janvier 2014), pour retenir une réaction à un facteur de stress sévère, atteinte qu’il a cependant considérée en rémission complète faute d’en retrouver des symptômes. Dans ces conditions, il eût été judicieux que l’expert s’entretienne avec les spécialistes qui suivent régulièrement la recourante, ce d’autant plus que qu’il a fondé son analyse sur leur rapport, mais qu’il s’est écarté des diagnostics posés. En outre, il sera observé que l’appréciation de l’expert paraît incertaine, puisqu’il a indiqué que : « il semble peu probable que l’expertisée ait, à un moment donné, réellement présenté les symptômes d’un épisode dépressif avéré ou d’un trouble anxieux spécifique » (rapport p. 131). De façon étonnante, l’expert a considéré qu’« aucun examen complémentaire n’est à recommander car l’anamnèse et l’examen clinique actuels sont suffisamment clairs pour permettre de retenir le diagnostic d’une réaction à un facteur de stress important, sans précision (ICD-10, F43.9) en status post » (rapport p. 94). b. Enfin, il est rappelé que les conclusions concernant les répercussions de la fibromyalgie sur la capacité de travail de la recourante ne peuvent être confirmées, puisqu’elles se basent sur les anciens critères jurisprudentiels. Qui plus est, la chambre de céans constate que l’argumentation de l’expert à ce propos prête également le flanc à la critique. À titre d’exemple, le Dr R______ a considéré qu’il n’y avait pas d’affection corporelle chronique importante ou s’étendant sur de nombreuses années, alors qu’il a rappelé que de nombreux traitements avaient été proposés (manipulations rachidiennes, antalgiques, antidépresseurs, myorelaxants et anti-inflammatoires) ; et ce, alors même que la recourante présente de nombreuses atteintes qui ont d’ailleurs conduit l’intimé à retenir que l’activité habituelle d’aide-soignante ne pouvait plus être exercée, et que la capacité de travail résiduelle dans une profession adaptée s’élevait à 70%. L’expert a également reconnu un certain isolement de la recourante, mais nié une perte d’intégration sociale car la recourante alléguait des « relations très limitées, mais néanmoins existantes », ce qui semble un peu paradoxal.</w:t>
      </w:r>
    </w:p>
    <w:p>
      <w:r>
        <w:rPr>
          <w:b/>
        </w:rPr>
        <w:t>E. 19</w:t>
      </w:r>
    </w:p>
    <w:p>
      <w:r>
        <w:t>Eu égard à tout ce qui précède, le rapport d’expertise de la Clinique Corela du 4 mars 2014 doit se voir nier toute valeur probante.</w:t>
      </w:r>
    </w:p>
    <w:p>
      <w:r>
        <w:rPr>
          <w:b/>
        </w:rPr>
        <w:t>E. 20</w:t>
      </w:r>
    </w:p>
    <w:p>
      <w:r>
        <w:t>S’agissant des rapports des médecins-traitants, ils ne comportent pas une analyse globale et détaillée de l’ensemble des atteintes de la recourante, si bien que l’on ne saurait sans autre se fonder sur leur appréciation selon laquelle la capacité de travail serait nulle. Il sied également de tenir compte du fait que, selon l’expérience, le médecin traitant est généralement enclin, en cas de doute, à prendre parti pour son patient en raison de la relation de confiance qui l’unit à ce dernier.</w:t>
      </w:r>
    </w:p>
    <w:p>
      <w:r>
        <w:rPr>
          <w:b/>
        </w:rPr>
        <w:t>E. 21</w:t>
      </w:r>
    </w:p>
    <w:p>
      <w:r>
        <w:t>L’intimé est donc invité à reprendre l’instruction en mettant en œuvre une nouvelle expertise médicale confiée à des experts indépendants, selon la procédure prévue à l’art. 44 LPGA. La nouvelle expertise interdisciplinaire devra comporter des volets</w:t>
      </w:r>
    </w:p>
    <w:p>
      <w:r>
        <w:t>A/330/2015 - 33/34 - rhumatologique, ophtalmologique et psychiatrique. Il incombera notamment aux experts de se prononcer sur tous les diagnostics, les limitations fonctionnelles, l’influence des différentes atteintes sur la capacité de travail et l’évolution de cette dernière depuis le mois de juillet 2008, à la lumière des indicateurs standard développés par le Tribunal fédéral au consid. 4 de l’ATF 141 V 281 en matière de trouble somatoforme douloureux, en motivant suffisamment leur appréciation. C’est le lieu de rappeler qu’une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w:t>
      </w:r>
    </w:p>
    <w:p>
      <w:r>
        <w:rPr>
          <w:b/>
        </w:rPr>
        <w:t>E. 22</w:t>
      </w:r>
    </w:p>
    <w:p>
      <w:r>
        <w:t>Il se justifie en conséquence d’admettre partiellement le recours, d’annuler la décision du 18 décembre 2014 et de renvoyer la cause à l’intimé pour instruction complémentaire au sens des considérants et nouvelle décision.</w:t>
      </w:r>
    </w:p>
    <w:p>
      <w:r>
        <w:rPr>
          <w:b/>
        </w:rPr>
        <w:t>E. 23</w:t>
      </w:r>
    </w:p>
    <w:p>
      <w:r>
        <w:t>La recourante, représentée par un conseil, obtenant partiellement gain de cause, une indemnité de CHF 1’500.- lui est octroyée à titre de participation à ses frais et dépens (art. 61 let. g LPGA; 89H al. 1 LPA ; art. 6 du règlement sur les frais, émoluments et indemnités en matière administrative du 30 juillet 1986 [RFPA - E 5 10.03]).</w:t>
      </w:r>
    </w:p>
    <w:p>
      <w:r>
        <w:t>La procédure de recours en matière de contestations portant sur l’octroi ou le refus de prestations de l’assurance-invalidité étant soumise à des frais de justice (art. 69 al. 1bis LAI), un émolument de CHF 500.- sera mis à la charge de l’intimé.</w:t>
      </w:r>
    </w:p>
    <w:p>
      <w:r>
        <w:t>A/330/2015 - 34/34 -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