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ATAS/456/2009 vom 2. Oktober 2008</w:t>
      </w:r>
    </w:p>
    <w:p>
      <w:r>
        <w:t>GE Cour de justice, 2008-10-02, FR</w:t>
      </w:r>
    </w:p>
    <w:p>
      <w:r>
        <w:rPr>
          <w:b/>
        </w:rPr>
        <w:t xml:space="preserve">Quelle: </w:t>
      </w:r>
      <w:r>
        <w:t>https://mcp.opencaselaw.ch/entscheid/ge_gerichte_ATAS_456_2009</w:t>
      </w:r>
    </w:p>
    <w:p>
      <w:r>
        <w:t>FR: GE_GERICHTE ATAS/456/2009 du 2 octobre 2008</w:t>
      </w:r>
    </w:p>
    <w:p>
      <w:r>
        <w:t>IT: GE_GERICHTE ATAS/456/2009 del 2 ottobre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w:t>
      </w:r>
    </w:p>
    <w:p>
      <w:r>
        <w:t>A/12/2009 3/7 pertinentes sont, d’une part, celle du mariage, le 5 novembre 1999, d’autre part le 16 décembre 2008, date à laquelle le jugement de divorce est devenu exécutoire.</w:t>
      </w:r>
    </w:p>
    <w:p>
      <w:r>
        <w:rPr>
          <w:b/>
        </w:rPr>
        <w:t>E. 4</w:t>
      </w:r>
    </w:p>
    <w:p>
      <w:r>
        <w:t>Il y a toutefois lieu de constater que dans son projet de décision du 6 mars 2009, l'OFFICE CANTONAL DE L'ASSURANCE-INVALIDITE a reconnu à la demanderesse le droit à une demi-rente à compter du 1er décembre 2005.</w:t>
      </w:r>
    </w:p>
    <w:p>
      <w:r>
        <w:rPr>
          <w:b/>
        </w:rPr>
        <w:t>E. 5</w:t>
      </w:r>
    </w:p>
    <w:p>
      <w:r>
        <w:t>Le partage de la prestation de sortie n'est plus possible lorsqu’un cas de prévoyance (invalidité, décès, vieillesse) est survenu pour la personne assurée avant le divorce : conformément à l’art. 122 al. 1 CC, aucun cas de prévoyance ne doit être survenu pour l’un ou l’autre des conjoints. Le législateur a exclu le partage des avoirs de prévoyance lorsqu'un cas de prévoyance est survenu, essentiellement pour des motifs pratiques. Par la survenance d'un cas de prévoyance au sens de la disposition précitée, il faut entendre la naissance d'un droit concret à des prestations de la prévoyance professionnelle, qui rend impossible le partage des avoirs de prévoyance sur la base des prestations servies (dans ce sens, KIESER, Ehescheidung und Eintritt des Vorsorgefalles der beruflichen Vorsorge - Hinweise für die Praxis, PJA 2001 p. 155). Ainsi, la survenance de l'âge de la retraite ou du droit à des prestations d'invalidité d'un conjoint qui n'a jamais travaillé ou qui n'a jamais été affilié à la prévoyance professionnelle, dans la mesure où il n'entraîne aucun droit à des prestations d'une institution de prévoyance, permet encore le partage des avoirs de la prévoyance professionnelle de l'autre conjoint en sa faveur (Thomas SUTTER/Dieter FREIBURGHAUS, Kommentar zum neuen Scheidungsrecht, ad art. 124 n° 1 et 3; ad art. 122/141-142 n° 13 ss). En revanche, la survenance effective d'un cas de prévoyance rend le partage des avoirs de prévoyance impossible, si minimes soient les prestations versées ou les avoirs à leur base. Dans cette hypothèse, il appartient alors au juge du divorce de fixer le montant de l'indemnité équitable en tenant compte de cet élément (Thomas SUTTER/Dieter FREIBURGHAUS, op. cit., ad art. 124, n° 3 ; ATFA du 30 janvier 2004, cause B 19/03). En vertu du système des art. 122ss CC, les règles applicables sont différentes selon que le cas de prévoyance est survenu ou non. Un problème concret se pose lorsqu’un cas de prévoyance survient ou risque de survenir en cours de procédure. Cette situation peut se produire tant devant le juge du divorce que devant le juge des assurances. Comme il est fréquent que le cas d’invalidité soit admis avec effet rétroactif, il est également possible que le partage des prestations de sortie entre en force à l’égard de l’institution de prévoyance et qu’ultérieurement, l’institution de prévoyance admette que le cas de prévoyance est survenu avant l’entrée en force. La loi ne contient aucune disposition réglant expressément ces situations. (J-A. SCHNEIDER / C. BRUCHEZ « La prévoyance professionnelle et le divorce » in Le nouveau droit du divorce, p. 255).</w:t>
      </w:r>
    </w:p>
    <w:p>
      <w:r>
        <w:t>A/12/2009 4/7 Nonobstant les difficultés énoncées ci-dessus, la loi prévoit clairement l’impossibilité de partager les avoirs LPP dans le cas uniquement de la survenance effective du cas de prévoyance.</w:t>
      </w:r>
    </w:p>
    <w:p>
      <w:r>
        <w:rPr>
          <w:b/>
        </w:rPr>
        <w:t>E. 6</w:t>
      </w:r>
    </w:p>
    <w:p>
      <w:r>
        <w:t>En matière de prévoyance professionnelle obligatoire, il existe une relation étroite, voulue par le législateur, entre le droit à une rente d'invalidité en vertu du premier pilier et celui à une rente du même genre du deuxième pilier (Message du Conseil fédéral à l'appui d'un projet de loi sur la prévoyance professionnelle vieillesse, survivants et invalidité, du 19 décembre 1975, FF 1976 I 142 et 200). Dans son commentaire de l'art. 24 al. 1 du projet de LPP, qui correspond à l'art. 26 al. 1 LPP, le Conseil fédéral a indiqué que cette réglementation a pour but de coordonner le début du droit aux prestations de la prévoyance professionnelle et le début du droit à la rente de l'assurance-invalidité. De plus, selon le Tribunal fédéral des assurances, il y a lieu d'interpréter l'art. 26 al. 1 LPP en ce sens que le renvoi aux « dispositions de la loi fédérale du 19 juin 1959 sur l'assurance-invalidité (art. 29 LAI) » applicables par analogie pour fixer la naissance du droit à la rente de la prévoyance professionnelle vise uniquement l'art. 29 LAI, à l'exclusion de l'art. 48 al. 2 LAI (ATFA non publié du 2 février 2006, B 124/04, consid. 4.4.2). Selon la doctrine relative à l'art. 122 CC qui s'applique par analogie à l'art. 124 CC, concernant la survenance du cas de prévoyance "invalidité", il y a deux moments à prendre en considération : celui de la naissance de l'incapacité de travail qui conduit en dernier lieu à l'invalidité et à la rente (théorie de la cause) et celui lors duquel, pour la première fois, un droit à une rente peut être accordé (théorie de l'entrée). La théorie de la cause s'applique à la détermination de l'institution de prévoyance tenue à prestations (art. 23 LPP) et au droit à la prestation de sortie (art. 2 al. 1, art. 3 al. 2 LFLP). Quant au cas de prévoyance ressortant des art. 122 ss CC, on conçoit plus aisément de déterminer le moment de la survenance du risque "invalidité" selon la théorie de l'entrée. Outre des réflexions de praticabilité, parle particulièrement dans ce sens la possibilité de rachat prévue par l'art. 22c LFLP lors du partage des prestations de sortie dans le cadre d'un divorce. La disposition de l'art. 3 al. 2 LFLP se basant sur la théorie de la cause (restitution de la prestation de sortie) ne revêt dès lors qu'une signification minime (KIESER, Ehescheidung und Eintritt des Vorsorgefalles der beruflichen Vorsorge- Hinweise für die Praxis, PJA 2001 p. 157). En définitive, tant la jurisprudence qui parle de naissance d'un droit concret à des prestations de la prévoyance professionnelle que la doctrine qui se réfère à la théorie de l'entrée sont unanimes pour admettre que la survenance du cas de prévoyance au sens des art. 122 ss CC existe dès que l'assuré reçoit concrètement une rente de l'assurance-invalidité. Par survenance d'un cas de prévoyance au sens de l'art. 122 al. 1 CC, la jurisprudence entend la naissance d'un droit concret à des prestations de la</w:t>
      </w:r>
    </w:p>
    <w:p>
      <w:r>
        <w:t>A/12/2009 5/7 prévoyance professionnelle, qui rend impossible le partage des avoirs de prévoyance à la base des prestations servies (RSAS 2004 p. 572; Kieser, Ehescheidung und Eintritt des Vorsorgefalles der beruflichen Vorsorge - Hinweise für die Praxis, PJA 2001 p. 155). Selon les art. 23 et 24 al. 1 LPP (dans leur teneur en vigueur jusqu'au 31 décembre 2004), ont droit à des prestations d'invalidité les personnes qui sont invalides à raison de 50 pour cent au moins au sens de l'AI, et qui étaient assurées lorsqu'est survenue l'incapacité de travail dont la cause est à l'origine de l'invalidité. L'assuré a droit à une rente entière d'invalidité s'il est invalide à raison des deux tiers au moins, au sens de l'AI, et à une demi rente s'il est invalide à raison de 50 pour cent au moins. Conformément à l'art. 26 al. 1 LPP, les dispositions de la loi fédérale du 19 juin 1959 sur l'assurance-invalidité (art. 29 LAI) s'appliquent par analogie à la naissance du droit aux prestations d'invalidité. Dès lors, le droit à une rente d'invalidité de la prévoyance professionnelle obligatoire prend naissance au même moment que le droit à la rente de l'assurance-invalidité fédérale (ATF 123 V 269 consid. 2a p. 271). Celui-ci est établi par la décision formelle des organes compétents de l'assurance-invalidité et a force contraignante pour l'institution de prévoyance; seule une décision de l'AI entrée en force permet de déterminer avec suffisamment de précision la survenance du cas d'assurance selon la prévoyance professionnelle obligatoire et, partant du cas de prévoyance (RSAS 2006 p. 141 et 368). Demeurent réservés les cas où l'institution de prévoyance contesterait une décision de l'AI rendue à l'issue d'une procédure à laquelle elle n'aurait pas été associée (ATF 129 V 73) et où la décision apparaîtrait manifestement erronée (ATF 126 V 308 consid. 1 p. 310).</w:t>
      </w:r>
    </w:p>
    <w:p>
      <w:r>
        <w:rPr>
          <w:b/>
        </w:rPr>
        <w:t>E. 7</w:t>
      </w:r>
    </w:p>
    <w:p>
      <w:r>
        <w:t>En l'espèce, la demanderesse sera mise au bénéfice d'une demi-rente AI rétroactivement à partir du 1er décembre 2005 conformément au projet de décision du 6 mars 2009. Il y a tout lieu de penser que l'institution de prévoyance compétente sera débitrice à compter de cette même date d'une demi-rente également, de sorte que la demanderesse ne peut plus prétendre une prestation de sortie dès ce moment, quand bien même le droit à la prestation ne sera fixé qu'à une date ultérieure (ATF du 21 mars 2007 B 104/05 ; ATAS 1122/08). Aussi, le cas de prévoyance étant survenu avant l'entrée en force du jugement de divorce, soit avant le 16 décembre 2008, le partage de la prestation de sortie accumulée pendant la durée du mariage n'est-il plus possible. Le juge des assurances sociales n'a pas la compétence de remettre en cause le dispositif ou de le modifier. Seule la révision du jugement de divorce pourrait entraîner une modification de cette répartition (ATF du 8 mars 2007, cause B 48/06). Par conséquent le partage est déclaré impossible et les demandeurs sont</w:t>
      </w:r>
    </w:p>
    <w:p>
      <w:r>
        <w:t>A/12/2009 6/7 invités à mieux agir devant le Tribunal de première instance en demandant le cas échant la révision du jugement de divorce.</w:t>
      </w:r>
    </w:p>
    <w:p>
      <w:r>
        <w:rPr>
          <w:b/>
        </w:rPr>
        <w:t>E. 8</w:t>
      </w:r>
    </w:p>
    <w:p>
      <w:r>
        <w:t>Aucun émolument ne sera perçu, la procédure étant gratuite (art. 73 al. 2 LPP et 89H al. 1 de la loi sur la procédure administrative du 12 septembre 1985).</w:t>
      </w:r>
    </w:p>
    <w:p>
      <w:r>
        <w:t>A/12/2009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