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ATAS/455/2011 vom 10. Mai 2011</w:t>
      </w:r>
    </w:p>
    <w:p>
      <w:r>
        <w:t>GE Cour de justice, 2011-05-10, FR</w:t>
      </w:r>
    </w:p>
    <w:p>
      <w:r>
        <w:rPr>
          <w:b/>
        </w:rPr>
        <w:t xml:space="preserve">Quelle: </w:t>
      </w:r>
      <w:r>
        <w:t>https://mcp.opencaselaw.ch/entscheid/ge_gerichte_ATAS_455_2011</w:t>
      </w:r>
    </w:p>
    <w:p>
      <w:r>
        <w:t>FR: GE_GERICHTE ATAS/455/2011 du 10 mai 2011</w:t>
      </w:r>
    </w:p>
    <w:p>
      <w:r>
        <w:t>IT: GE_GERICHTE ATAS/455/2011 del 10 maggio 2011</w:t>
      </w:r>
    </w:p>
    <w:p>
      <w:pPr>
        <w:pStyle w:val="Heading2"/>
      </w:pPr>
      <w:r>
        <w:t>Erwägungen</w:t>
      </w:r>
    </w:p>
    <w:p>
      <w:r>
        <w:rPr>
          <w:b/>
        </w:rPr>
        <w:t>E. 7</w:t>
      </w:r>
    </w:p>
    <w:p>
      <w:r>
        <w:t>Force est de constater en l’espèce qu'une aggravation de l'état de santé entraînant une incapacité de travail suffisante pour justifier l'octroi d'une rente n'a pas été démontrée, ni même été rendue vraisemblable. Il appartenait à l'assurée de produire les pièces déterminantes à l'appui de sa demande. Aussi est-ce à bon droit que l'OAI a rejeté la demande. La décision litigieuse ne peut être que confirmée. Cela étant, il y a lieu de considérer qu'en communiquant les rapports des Drs M__________ et L__________, l'assurée a déposé une nouvelle demande. Il se justifie dès lors de renvoyer le dossier à l'OAI pour détermination et nouvelle décision, étant précisé, si besoin était, qu'il n'est pas question de reprocher quoi que ce soit à ce dernier.</w:t>
      </w:r>
    </w:p>
    <w:p>
      <w:r>
        <w:t>A/792/2010 - 9/9 -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