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ATAS/455/2008 vom 11. April 2008</w:t>
      </w:r>
    </w:p>
    <w:p>
      <w:r>
        <w:t>GE Cour de justice, 2008-04-11, FR</w:t>
      </w:r>
    </w:p>
    <w:p>
      <w:r>
        <w:rPr>
          <w:b/>
        </w:rPr>
        <w:t xml:space="preserve">Quelle: </w:t>
      </w:r>
      <w:r>
        <w:t>https://mcp.opencaselaw.ch/entscheid/ge_gerichte_ATAS_455_2008</w:t>
      </w:r>
    </w:p>
    <w:p>
      <w:r>
        <w:t>FR: GE_GERICHTE ATAS/455/2008 du 11 avril 2008</w:t>
      </w:r>
    </w:p>
    <w:p>
      <w:r>
        <w:t>IT: GE_GERICHTE ATAS/455/2008 del 11 aprile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w:t>
      </w:r>
    </w:p>
    <w:p>
      <w:r>
        <w:rPr>
          <w:b/>
        </w:rPr>
        <w:t>E. 2</w:t>
      </w:r>
    </w:p>
    <w:p>
      <w:r>
        <w:t>Interjeté dans les forme et délai légaux, le recours est recevable (art. 106 LAA dans sa teneur en vigueur depuis le 1er janvier 2003, en dérogation à l’art. 60 LPGA).</w:t>
      </w:r>
    </w:p>
    <w:p>
      <w:r>
        <w:rPr>
          <w:b/>
        </w:rPr>
        <w:t>E. 3</w:t>
      </w:r>
    </w:p>
    <w:p>
      <w:r>
        <w:t>La LPGA est entrée en vigueur le 1er janvier 2003, entraînant la modification de nombreuses dispositions légales dans le domaine de l'assurance-accidents. Conformément au principe selon lequel les règles applicables sont celles en vigueur au moment où les faits juridiquement déterminants se sont produits (ATF 130 V 446 consid. 1.2.1, 127 V 467 consid. 1, 126 V 165 consid. 4b), le droit litigieux doit être examiné à l'aune des dispositions de la LAA en vigueur jusqu'au 31 décembre 2002, pour la période courant jusqu'à cette date, puis à celle de la nouvelle réglementation pour la période postérieure. Il convient en outre de relever que les dispositions de la LPGA n'ont pas modifié les notions d'accident et d'invalidité (notamment) selon l'ancienne LAA et la jurisprudence du TFA y relative est toujours d'actualité. Enfin,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Est litigieux en l’espèce, le droit du recourant aux prestations de l’assurance- accidents (frais de traitement et indemnité journalière particulièrement) ensuite des événements ayant eu lieu dans le courant de l’année 1987. Dans la mesure toutefois où l’assureur, qui a nié le droit à toute prestation, a expressément renoncé à requérir le remboursement des prestations versées à tort selon lui (soit celles accordées antérieurement à novembre 2001), le Tribunal de céans se limitera à examiner la question du droit aux prestations à compter de la « rechute » (novembre 2001) annoncée en décembre 2001.</w:t>
      </w:r>
    </w:p>
    <w:p>
      <w:r>
        <w:rPr>
          <w:b/>
        </w:rPr>
        <w:t>E. 5</w:t>
      </w:r>
    </w:p>
    <w:p>
      <w:r>
        <w:t>Aux termes de l'art. 10 al. 1 LAA l'assuré a droit au traitement médical approprié des lésions résultant d'un accident. Quant à l’art. 16 al. 1 LAA, il dispose que l'assuré totalement ou partiellement incapable de travailler à la suite d'un accident a droit à une indemnité journalière. En conséquence et préalablement à toute autre question, devrait être tranchée celle de l’existence d’un événement accidentel à l’origine des troubles de santé dont se</w:t>
      </w:r>
    </w:p>
    <w:p>
      <w:r>
        <w:t>A/3225/2005 - 14/18 - plaint le recourant. Toutefois, eu égard au fait, d’une part, que le choc subi par l’intéressé en 1987 est considéré par l’intimé comme un accident (la notion même n’étant donc pas contestée) et que, d’autre part, le droit aux prestations doit être nié pour des motifs relatifs au lien de causalité entre accident et atteinte à la santé (cf. ci-dessous), ladite question peut demeurer ouverte.</w:t>
      </w:r>
    </w:p>
    <w:p>
      <w:r>
        <w:rPr>
          <w:b/>
        </w:rPr>
        <w:t>E. 6</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 U 363 p. 46). Par ailleurs,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A/3225/2005 - 15/18 -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Par ailleurs, il n'est pas nécessaire que le diagnostic posé par l'expert soit émaillé de références à la doctrine médicale. On attend bien plutôt de l'expert un diagnostic précis et formulé selon les règles de la science médicale. S'il ne s'agit que d'une suspicion ou d'un diagnostic possible, l'expert doit le signaler explicitement (ATFA non publié du 12 septembres 2005, I 435/05, consid,. 2; voir à ce sujet : MEINE, L'expert et l'expertise - critères de validité de l'expertise médicale in : L'expertise médicale, édition Médecine et Hygiène, 2002, p. 21). Sans remettre en cause le principe de la libre appréciation des preuves, le Tribunal fédéral des assurances a posé des lignes directrices en ce qui concerne la manière d'apprécier certains types d'expertises ou de rapports médicaux (ATF 125 V 352 ss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Enfin,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ss. consid. 3.2 et 3.3). Aussi n'existe-t-il pas, en droit des assurances sociales, un principe selon lequel l'administration ou le juge devrait statuer, dans le doute, en faveur de l'assuré (ATF 126 V 322 consid. 5a). La présomption d'un rapport de causalité ne suffit pas pour déterminer l'obligation de prestations de l'assureur. Il doit être prouvé sur le plan de la médecine des assurances que l'assuré souffre bien des conséquences d'un accident ou d'une maladie professionnelle. D'une manière générale la preuve doit ressortir du dossier selon le degré de la vraisemblance prépondérante, ce qui revient à dire que les indices positifs doivent nettement l'emporter dans le bilan des indices. Il y a</w:t>
      </w:r>
    </w:p>
    <w:p>
      <w:r>
        <w:t>A/3225/2005 - 16/18 - vraisemblance lorsque, en accord avec les enseignements de la science médicale, plus d'arguments parlent pour que contre un lien de causalité. On peut parler de vraisemblance prépondérante lorsque les arguments en faveur de la causalité ont tellement de poids que les arguments contraires restent à l'arrière plan. La simple possibilité (degré de preuve inférieur à 50 %) ne suffit pas pour la prise en charge. C'est la raison pour laquelle est fréquemment posée aux experts médicaux la question de savoir si le rapport de causalité doit être taxé de certain [100%], hautement vraisemblable [plus de 50%] ou possible [moins de 50%] (MEINE/BURRI, Guide LAA pour médecins-consultants, experts et spécialistes d'assurance, 2ème éd., Zurich 2000, p. 22 s.). b) Dans le cas d’espèce, l’intimé a donné mandat au docteur J_________ de procéder à une expertise sur la personne du recourant. La Juridiction de céans constate que le rapport y relatif, rendu par un spécialiste reconnu en date du 16 septembre 2003, a été établi sur la base de l’intégralité du dossier de l’intéressé et en particulier des documents radiologiques, ainsi que d’une anamnèse détaillée. Les constatations cliniques et les plaintes du recourant sont documentées, les conclusions auxquelles le médecin arrive sont claires et motivées (en particulier les raisons pour lesquelles l’expert s’est prononcé en défaveur d’un lien de causalité naturelle entre le choc à l’épaule et les atteintes à la santé), de sorte qu'il convient de s'y référer. Les autres documents au dossier ne permettent pas de s’écarter de l’avis motivé de l’expert. En effet, la doctoresse H__________ - au demeurant médecin généraliste - qui s’est tout d’abord rapportée à l’avis émis par son confrère I__________ aux termes duquel le recourant souffrait d’une rupture dégénérative avec un tendon très mince, a changé d’opinion ensuite de la production du rapport d’expertise. Or, ce revirement n’est fondé que sur les seules données statistiques médicales (non produites) selon lesquelles des lésions telles que celles du recourant seraient, à son âge, bien plus fréquemment la conséquence d’un accident que de troubles dégénératifs. A l’instar de la doctoresse H__________, le docteur I__________ semble également avoir modifié son appréciation des faits dans un certificat du 1er mars 2005 ; il relate effectivement que la relation de cause à effet entre l’accident survenu en 1987 et la rupture constatée sur l’arthro-scanner en 2001 est tout à fait possible, voire probable en raison des douleurs évoluant sur un mode chronique depuis la période de l’accident. Cela étant, il décrit également que la chronologie des différents symptômes depuis 1986 (soit antérieurement à l’événement accidentel) et les signes radiographiques constatés plaident en faveur d’une tendinopathie dégénérative particulièrement précoce, qui se serait aggravée par une rupture de l’attache distale du trochiter survenue lors de l’accident. Son avis, quelque peu confus, dans la mesure où il affirme tout d’abord que l’atteinte est dégénérative, puis possiblement, voire probablement accidentelle (au demeurant en retenant des troubles évoluant depuis une date non pas contemporaine de l’événement mais antérieure) et enfin dégénérative, mais aggravée (possiblement vu</w:t>
      </w:r>
    </w:p>
    <w:p>
      <w:r>
        <w:t>A/3225/2005 - 17/18 - l’emploi du conditionnel) par l’accident, ne saurait emporter la conviction. Tout au plus démontre-t-il que l’atteinte est possiblement due à un accident plutôt qu’à une maladie, mais un tel degré de certitude n’est de loin pas suffisant pour reconnaître un lien de causalité naturelle entre une atteinte à la santé et un accident. Quant aux conclusions du docteur K________, force est de constater qu’elles sont fondées sur des prémisses erronées, à savoir un choc « très violent » donc « suffisamment important pour déclencher » le type de pathologie constatée et l’absence de toute symptomatologie avant l’événement incriminé. En effet, le Tribunal de céans ne saurait retenir la violence particulière du choc au vu des circonstances. D’une part, l’événement accidentel n’a pas été décrit comme particulièrement violent dans les premières années qui l’ont suivi. Or, la jurisprudence constante donne la préférence aux premières déclarations, faites alors que l’intéressé en ignorait peut-être les conséquences juridiques, car les explications nouvelles peuvent être - consciemment ou non - le fruit de réflexions ultérieures (ATF 1221 V 47 consid. 2a, 115 V 143 consid. 8c notamment). D’autre part, il apparaît pour le moins douteux qu’un accident, dont les circonstances sont demeurées peu claires jusqu’à ce jour et dont la date même n’est pas déterminée avec précision, se soit révélé violent, car - si tant est que le recourant eut pu se passer de soins médicaux pendant plusieurs semaines à la suite d’une telle atteinte - l’expérience veut que l’intéressé aurait conservé un souvenir bien plus circonstancié de sa survenance. Or, il avoue lui-même ne s’être souvenu dudit événement qu’après que les médecins consultés lui ont demandé s’il avait subi un traumatisme. Enfin, il ressort du dossier - ce que ne conteste d’ailleurs pas le recourant - que des douleurs étaient déjà présentes à tout le moins plusieurs mois avant l’accident de 1987, dont il y a lieu de considérer qu’il est survenu à l’époque de Noël, soit vers la fin de l’année. Nanti de cette information, le docteur K________ a maintenu ses conclusions lors de l’audience du 30 août 2007, mais de façon moins catégorique et en modifiant quelque peu son argumentation. Il a en effet déclaré que ces dernières reposaient sur l'âge de l'assuré et l’absence d’argument spécifique sur les radiographies en faveur d’une prédisposition du recourant à une atteinte dégénérative. En résumé, il s’est déclaré en mesure ni d’exclure une cause maladive, ni de démontrer que l’accident avait provoqué la lésion et a fait valoir l’expérience (statistique) selon laquelle il était plus fréquent, à l’âge de l’assuré, de constater des lésions suite à un traumatisme que maladives. Toutefois, l’activité précédemment exercée par l’intéressé était tout à fait compatible avec des atteintes dégénératives, de même que les douleurs relatées. Dans ces circonstances, on ne saurait dire que les arguments parlant en faveur d’un lien de causalité naturelle seraient plus nombreux et auraient plus de poids que ceux parlant en faveur d’une atteinte dégénérative et donc maladive, bien au contraire. Seule la possibilité, fondée sur des considérations générales (âge et statistiques), d’une origine accidentelle a été évoquée, alors que les éléments parlant pour une maladie (dégénérescence de l’articulation scapulo-humérale) ont été clairement exposés par le docteur J_________.</w:t>
      </w:r>
    </w:p>
    <w:p>
      <w:r>
        <w:t>A/3225/2005 - 18/18 -</w:t>
      </w:r>
    </w:p>
    <w:p>
      <w:r>
        <w:rPr>
          <w:b/>
        </w:rPr>
        <w:t>E. 7</w:t>
      </w:r>
    </w:p>
    <w:p>
      <w:r>
        <w:t>Il suite de ce qui précède que la décision de l’intimé doit être confirmée et le recours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