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ATAS/454/2016 vom 8. Juni 2016</w:t>
      </w:r>
    </w:p>
    <w:p>
      <w:r>
        <w:t>GE Cour de justice, 2016-06-08, FR</w:t>
      </w:r>
    </w:p>
    <w:p>
      <w:r>
        <w:rPr>
          <w:b/>
        </w:rPr>
        <w:t xml:space="preserve">Quelle: </w:t>
      </w:r>
      <w:r>
        <w:t>https://mcp.opencaselaw.ch/entscheid/ge_gerichte_ATAS_454_2016</w:t>
      </w:r>
    </w:p>
    <w:p>
      <w:r>
        <w:t>FR: GE_GERICHTE ATAS/454/2016 du 8 juin 2016</w:t>
      </w:r>
    </w:p>
    <w:p>
      <w:r>
        <w:t>IT: GE_GERICHTE ATAS/454/2016 del 8 giugno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 aux prestations complémentaires fédérales à moins que la LPC n’y déroge expressément (art. 1 al. 1 LPC). En matière de prestations complémentaires cantonales, la LPC et ses dispositions d’exécution sont applicables par analogie en cas de silence de la législation cantonale (art. 1A LPCC).</w:t>
      </w:r>
    </w:p>
    <w:p>
      <w:r>
        <w:rPr>
          <w:b/>
        </w:rPr>
        <w:t>E. 3</w:t>
      </w:r>
    </w:p>
    <w:p>
      <w:r>
        <w:t>Déposé dans les forme et délai légaux (art. 60 al. 1 LPGA et 43 LPCC), le recours est recevable sous réserve de ce qui suit : En tant que la recourante conclut à la suppression du gain potentiel imputé à son mari dès le 1er mai 2009, elle soulève une prétention qui ne relève pas de l’objet de la décision entreprise puisque cette dernière ne retient pas un tel gain. De plus, l’intimé a précisément supprimé le revenu hypothétique du mari dès le 1er mai 2009 par décision sur opposition du 28 août 2013. La recourante ne dispose ainsi d’aucun intérêt juridique actuel au recours sous cet angle, de sorte que ses conclusions relatives à la suppression du gain potentiel du mari sont irrecevables, à plus forte raison que la décision du 28 août 2013 était déjà en force à la date du recours.</w:t>
      </w:r>
    </w:p>
    <w:p>
      <w:r>
        <w:rPr>
          <w:b/>
        </w:rPr>
        <w:t>E. 4</w:t>
      </w:r>
    </w:p>
    <w:p>
      <w:r>
        <w:t>Le litige porte sur le calcul des prestations complémentaires du 1er décembre 2013 au 30 novembre 2014, plus particulièrement sur l’intégration, à ce calcul, de montants correspondant à des biens dessaisis du 1er janvier 2014 au 30 novembre 2014.</w:t>
      </w:r>
    </w:p>
    <w:p>
      <w:r>
        <w:rPr>
          <w:b/>
        </w:rPr>
        <w:t>E. 5</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auraient droit à une rente de l'AI si elles justifiaient de la durée de cotisation minimale requise à l'art. 36 al. 1 de la loi sur l'assurance- invalidité du 19 juin 1959 (LAI – RS 831.20). Les prestations complémentaires fédérales se composent de la prestation complémentaire annuelle et du remboursement des frais de maladie et d’invalidité (art. 3 al. 1 LPC).</w:t>
      </w:r>
    </w:p>
    <w:p>
      <w:r>
        <w:t>A/2021/2015 - 13/22 - L’art. 9 al. 1 LPC dispose que le montant de la prestation complémentaire annuelle correspond à la part des dépenses reconnues qui excède les revenus déterminants. L'art. 10 LPC énumère de manière exhaustive (arrêt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 Quant aux revenus déterminants, ils sont fixés à l'art. 11 al. 1 LPC et comprennent notamment un quinzième – un dixième pour les bénéficiaires de rentes de vieillesse – de la fortune nette dans la mesure où elle dépasse les deniers de nécessité (let. c) ainsi que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3ème éd. 2015, n. 330 ad art. 11 LPC), Ralph JÖHL, Patricia USINGER-EGGER, Ergänzungsleistungen zur AHV/IV, in SBVR, 3ème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2ème éd. 2009 p. 163). L’origine des éléments de fortune n’importe pas (Directives concernant les prestations complémentaires à l’AVS et à l’AI, état au 1er janvier 2015 [ci-après : DPC], ch. 3443.01).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w:t>
      </w:r>
    </w:p>
    <w:p>
      <w:r>
        <w:t>A/2021/2015 - 14/22 - Conformément à l’art. 7 LPCC, la fortune comprend la fortune mobilière et immobilière définie par la LPC et ses dispositions d’exécution (al. 1), cette fortune devant être évaluée selon les règles de la loi sur l’imposition des personnes physiques du 27 septembre 2009 (LIPP – D 3 08)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En application de l’art. 9 al. 1 LPCC, pour la fixation de la prestation, sont déterminantes les rentes de l’année civile en cours (let. a) ; la fortune au 1er janvier de l’année pour laquelle la prestation est demandée (let. b).</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11 al. 1 let. g 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 EGGER, op. cit. p. 1861 n. 177). Le Tribunal fédéral a considéré qu'il n'y avait pas dessaisissement dans le cas d'une assurée ayant épuisé sa fortune après avoir vécu</w:t>
      </w:r>
    </w:p>
    <w:p>
      <w:r>
        <w:t>A/2021/2015 - 15/22 -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w:t>
      </w:r>
    </w:p>
    <w:p>
      <w:r>
        <w:rPr>
          <w:b/>
        </w:rPr>
        <w:t>E. 7</w:t>
      </w:r>
    </w:p>
    <w:p>
      <w:r>
        <w:t>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Patricia USINGER-EGGER, op. cit. p. 1869 n. 186). La réduction de CHF 10'000.- ne peut être opérée qu’une fois par année. En présence de dessaisissements successifs d’une personne dans le courant d’une année, il n’y a pas lieu de réduire chacun des montants dessaisis (DPC, ch. 3483.07).</w:t>
      </w:r>
    </w:p>
    <w:p>
      <w:r>
        <w:t>A/2021/2015 - 16/22 -</w:t>
      </w:r>
    </w:p>
    <w:p>
      <w:r>
        <w:t>En outre, conformément à l’art. 11 al. 1 let. b LPC, il convient de tenir compte, dans le calcul des revenus déterminants, du produit hypothétique de la part de fortune dont l’assuré s’est dessaisi.</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rPr>
          <w:b/>
        </w:rPr>
        <w:t>E. 9</w:t>
      </w:r>
    </w:p>
    <w:p>
      <w:r>
        <w:t>En l’espèce, l’intimé a retenu l’existence d’un bien dessaisi au 1er janvier 2014 et en a fixé la valeur à CHF 101'555.- à cette date. Il fonde ses calculs sur les justificatifs des dépenses effectuées par la recourante en 2013 en tant que celles-ci ne sont pas déjà comprises dans le montant forfaitaire destiné à la couverture des besoins vitaux. a. La recourante conteste en substance de devoir fournir des justificatifs attestant de l’acquisition d’une contre-valeur correspondant à la diminution de sa fortune, motif pris qu’elle a allégué, sans être contredite, que l’intégralité des dépenses qu’elle avait effectuées, l’avaient été moyennant contreprestation (cf. complément de recours du 13 juillet 2015, p. 9). Elle soutient qu’il serait inéquitable de traiter différemment les prestations complémentaires courantes, qu’elle pourrait dépenser</w:t>
      </w:r>
    </w:p>
    <w:p>
      <w:r>
        <w:t>A/2021/2015 - 17/22 - à sa guise, des arriérés de prestations complémentaires dus ; puisque ceux-ci entrent dans la fortune, ils la pénaliseraient doublement, non seulement en diminuant les prestations courantes qui lui sont dues mais aussi en l’obligeant à rendre compte de leur utilisation sous peine de se voir imputer un dessaisissement. En outre, l’intimé aurait favorisé cette situation en tardant sans raison à rendre une décision en matière de prestations cantonales alors que la procédure pendante devant le Tribunal fédéral avait uniquement pour objet les prestations complémentaires fédérales.</w:t>
      </w:r>
    </w:p>
    <w:p>
      <w:r>
        <w:t>Sur le premier point, la recourante ne peut être suivie puisque la preuve que les dépenses ont été effectuées moyennant contre-prestation adéquate lui incombe (cf. ci-dessus : consid. 8). Sur le second, la chambre de céans constate que la recourante ne reproche pas à l’intimé d’avoir appliqué les dispositions légales pertinentes de manière erronée, elle s’en prend plutôt au choix du législateur, plus précisément à la solution consistant à tenir compte des arriérés de prestations complémentaires versés dans la fortune du bénéficiaire. Il n’en demeure pas moins que lorsque des prestations complémentaires sont perçues à titre rétroactif, elles viennent augmenter la fortune du bénéficiaire, de sorte qu’il est impossible de ne pas les prendre en compte dans le cadre de l’établissement du revenu déterminant (ATAS/581/2011 du 31 mai 2011 consid. 2c ; cf. également ci-dessus : consid. 5a) et donc, de les soustraire au régime légal prévu en cas de dessaisissement (art. 11 al. 1 let. g LPC). Quant à la question de savoir si l’intimé aurait pu et dû rendre une décision en matière de prestations complémentaires cantonales sans attendre l’issue de la contestation – portant sur les seules prestations fédérales – devant le Tribunal fédéral, elle souffre de rester indécise puisque la recourante n’a plus d’intérêt juridique à faire constater un éventuel déni de justice eu égard précisément aux deux décisions rendues le 29 avril 2013, octroyant les arriérés de prestations complémentaires pour la période du 1er mars 2006 au 30 avril 2009, respectivement du 1er mai 2009 au 30 avril 2013. Par ailleurs, il convient d’avoir à l’esprit que même lorsqu’un déni de justice est admis, la réparation se limite à la constatation d’un retard inadmissible à statuer, ce qui exclut l’octroi d’une prestation positive de l’Etat sous la forme d’une prestation d’assurance sociale (ATF 129 V 411 consid. 3.4). On notera également au passage que dans l’hypothèse où il aurait été possible de rendre une décision limitée aux seules PCC aussitôt l’arrêt ATAS/58/2012 du 31 janvier 2012 rendu – hypothèse peu réaliste ne serait-ce qu’en raison du temps nécessaire pour rassembler les renseignements requis –, ouvrant ainsi la voie au versement de PCC courantes, cela n’aurait pas diminué notablement les arriérés de prestations qui ont été versés par la suite. En effet, en se référant au tableau reproduit dans la décision du 29 avril 2013 relative à la période du 1er mai 2009 au 30 avril 2013, il appert que les arriérés de PCC dus entre février 2012 et avril 2013 ne représentent qu’un montant de CHF 23’438.- par rapport à la somme des arriérés de PCF et PCC accumulés du 1er mai 2009 au 30 avril 2013 (CHF 189'776.-, dont CHF 43'535.10 ont été versés à la recourante en mai 2013 après remboursement</w:t>
      </w:r>
    </w:p>
    <w:p>
      <w:r>
        <w:t>A/2021/2015 - 18/22 - de l’Hospice général). Cela étant, la réduction des arriérés à verser n’aurait jamais atteint CHF 23'438.-, loin de là, puisque la prise en charge par l’Hospice général – et, par voie de conséquence, le montant à rembourser à celui-ci – aurait diminué sinon cessé pendant la durée du versement des seules PCC courantes. Quant aux arriérés qui ont été versés en septembre 2013, d’un montant de CHF 68'042.-, ils s’expliquent par le fait que l’intimé a accepté, sur opposition, de supprimer le gain potentiel que la décision du 29 avril 2013 avait retenu pour le conjoint de la recourante (cf. décision sur opposition du 28 août 2013). Comme on peut le constater, le litige sur ce point précis, qui n’est au demeurant plus d’actualité, était bien postérieur à la procédure qui était pendante devant le Tribunal fédéral, quoi qu’en dise la recourante. Compte tenu de ces éléments, les arriérés de prestations apparaissent, en l’espèce, comme la conséquence nécessaire d’une procédure au Tribunal fédéral puis d’une opposition à une décision subséquente à l’issue favorable à l’intéressée dans les deux cas. Ainsi, le grief fait à l’intimé – guère motivé au demeurant – d’une attitude contraire à la bonne foi se confond en définitive avec une critique de la loi en vigueur, plus particulièrement du sort qu’elle réserve aux arriérés de prestations complémentaires. Or, on l’a vu, dans la mesure où ceux-ci doivent être pris en compte dans la fortune du bénéficiaire, indépendamment de la date à laquelle ils rétroagissent, les motifs d’équité, invoqués au surplus par la recourante, ne permettent pas non plus de déroger à ce régime. b. L’intimé a admis l’existence d’une contreprestation adéquate dans la mesure où les justificatifs produits par la recourante concernent des acquisitions effectuées en 2013, non couvertes par le montant forfaitaire destiné à la couverture des besoins vitaux. Étant donné que les frais engagés pour des vêtements, petits accessoires, produits de soins et d’entretien divers (magasins Celio, Coop, C&amp;A, Manor et Migros ; cf. pièce 21 recourante) entrent dans ce montant, la décision de ne pas en tenir compte ne souffre aucune critique. Il en va de même de l’exclusion de biens qui, en soi, ne seraient pas compris dans ce montant mais qui ne peuvent pas être pris en considération dans la mesure où ils ont été achetés en 2014 et qu’ils ne sauraient donc justifier un dessaisissement survenu en 2013 (cf. en particulier le mobilier acheté chez Conforama ; cf. pièce 21 recourante). Sous cet angle, la situation de la voiture d’occasion est différente puisque la recourante allègue avoir retiré et mis de côté un montant de CHF 18'000.- en 2013 pour faire l’acquisition de ce véhicule en 2015. Compte tenu de son prix (CHF 22'500.-), on imagine difficilement les revenus modestes du ménage et les prestations complémentaires courantes versées en 2014 et 2015 permettre de financer davantage qu’un cinquième d’une telle acquisition (CHF 4'500.-). Ainsi, les déclarations de la recourante au sujet du retrait de CHF 18'000.- en 2013 et de l’utilisation de ce montant apparaissent tout à fait crédibles, de sorte qu’il existe une corrélation directe entre la « renonciation » à CHF 18'000.- en 2013 et la contre-prestation que constitue l’achat de cette voiture. De plus, il existe une connexité temporelle suffisamment étroite entre ces deux actes. Enfin, en tenant compte notamment de la</w:t>
      </w:r>
    </w:p>
    <w:p>
      <w:r>
        <w:t>A/2021/2015 - 19/22 - déclaration écrite de la belle-sœur de la recourante (pièce 19 recourante) il n’apparaît pas contestable – et il n’est pas non plus contesté par l’intimé ; cf. procès-verbal d’audience du 17 octobre 2015 – que la recourante s’est rendue à cinq reprises en Autriche et que les frais de carburant découlant de ces déplacements s’élevaient à EUR 1'200.-, soit CHF 1'476.- en se référant au cours moyen de la devise européenne en 2013 (1.23) : https://www.ictax.admin.ch/extern/fr.html#!/ratelist/2013. Selon l'art. 53 al. 3 LPGA, l'assureur peut reconsidérer une décision ou une décision sur opposition contre laquelle un recours a été formé jusqu'à l'envoi de son préavis à l'autorité de recours (reconsidération pendente lite). En l'espèce, les concessions faites par l'intimé sur les montants de EUR 1'200.- et CHF 18'000.- sont intervenues après le premier échange d'écritures. Ainsi, la voie de la reconsidération n'était plus ouverte et l’inflexion de la position de l’intimé sur ces deux montants, le 7 octobre 2015, doit être considérée comme une simple proposition faite au juge (ATF 109 V 234 consid. 2 ; arrêt du Tribunal fédéral 9C_159/2007 du 3 octobre 2007, consid. 2 ; Ueli KIESER, ATSG-Kommentar, 3ème éd. 2016, n. 77 ad art. 53). Dans le cas concret, il peut être donné favorablement suite à cette dernière, à la lumière des développements qui précèdent. Quant aux autres dépenses que la recourante aurait effectuées, elles reposent soit sur de simples allégations, soit sur des déclarations de tiers (cf. déclaration de Mme C______ du 15 mai 2014) ou des propositions de témoignage qui ne permettent pas de dater avec précision les achats qui auraient été effectués et encore moins d’en connaître le prix. On rappellera en dernier lieu qu’à l’audience du 7 octobre 2015, la chambre de céans a encore octroyé un délai au 30 octobre 2015 à la recourante pour produire d’éventuels justificatifs mais que celle- ci s’en est abstenue. En conclusion : la décision querellée retient un dessaisissement de CHF 101'555.- sans tenir compte des montants de EUR 1'200.- (= CHF 1'476.-) et CHF 18'000.-, pour lesquels l’existence de contreprestations adéquates est établie au degré de la vraisemblance prépondérante. En conséquence, il conviendra de réduire ce dessaisissement à CHF 82'079.- du 1er janvier 2014 au 30 novembre 2014.</w:t>
      </w:r>
    </w:p>
    <w:p>
      <w:r>
        <w:rPr>
          <w:b/>
        </w:rPr>
        <w:t>E. 10</w:t>
      </w:r>
    </w:p>
    <w:p>
      <w:r>
        <w:t>Par un ultime moyen, la recourante soutient que si elle avait su dès le départ qu’elle serait appelée à justifier ses dépenses une fois les arriérés de prestations complémentaires versés, elle aurait gardé l’ensemble des factures. Selon l’art. 9 de la Constitution fédérale du 18 avril 1999 (Cst. - RS 101), toute personne a le droit d'être traitée par les organes de l'Etat sans arbitraire et conformément aux règles de la bonne foi.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w:t>
      </w:r>
    </w:p>
    <w:p>
      <w:r>
        <w:t>A/2021/2015 - 20/22 - L'art. 9 Cst. confère d'abord au citoyen le droit d'exiger de l'autorité qu'elle se conforme aux assurances – promesses, renseignements, communications, recommandations ou autres déclarations – reçues, si les conditions cumulatives suivantes sont réunies (ATF 121 II 473 consid. 2c; 118 Ia 245 consid. 4b et les références citées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Plus largement, la bonne foi est protégée lorsque l'administration crée certaines expectatives par son comportement, que celui-ci soit actif ou passif (déclarations par « actes concluants » (arrêt du Tribunal fédéral 2A.466/2002 du 6 février 2003 consid. 5.1.1 et les références citées). Il ne suffit pas pour cela que, pendant un certain temps, l’autorité tolère, c’est-à-dire n’intervienne pas à l’encontre d’un état de fait illégal, et encore moins que, par ignorance ou faute d’actualité du problème, elle soit en quelque sorte restée neutre (ATF 118 Ia 384 consid. 3a). Il faut qu’elle manifeste d’une manière ou d’une autre sa position. Il n’est pas nécessaire pour autant qu’elle le fasse par un acte explicite ; elle sera liée si l’administré, sachant qu’elle est au courant, peut de bonne foi conclure de son mutisme qu’elle considère la situation comme régulière ou qu’elle a renoncé à exiger l’exécution d’une prestation due par l’administré (Pierre MOOR, Alexandre FLÜCKIGER, Vincent MARTENET, Droit administratif, vol. I, Les fondements, 3ème éd. 2012 p. 929). En l’espèce, la recourante ne prétend pas que l’intimé lui aurait donné des assurances quant à une éventuelle dispense de devoir prouver que ses dépenses ont été effectuées moyennant contreprestation adéquate. Une telle hypothèse ne ressort pas non plus des pièces du dossier. En outre, on ne saurait considérer que par le seul versement desdits arriérés, l’intimé aurait affiché d’une manière ou d’une autre sa position au sujet d’une telle dispense. Enfin, il ne ressort pas non plus du dossier que l’intimé savait, au cours de l’année 2013, que la recourante ne conservait pas les justificatifs prouvant ses dépenses extraordinaires – soit celles qui ne sont pas comprises dans le montant forfaitaire destiné à la couverture des besoins vitaux. En conséquence, le dessaisissement ne peut pas être réduit dans des proportions supérieures à celles admises ci-dessus (consid. 9b in fine).</w:t>
      </w:r>
    </w:p>
    <w:p>
      <w:r>
        <w:rPr>
          <w:b/>
        </w:rPr>
        <w:t>E. 11</w:t>
      </w:r>
    </w:p>
    <w:p>
      <w:r>
        <w:t>Le recours est donc partiellement admis dans la mesure de sa recevabilité, la décision du 12 mai 2015 annulée et la cause renvoyée à l’intimé afin qu’il procède</w:t>
      </w:r>
    </w:p>
    <w:p>
      <w:r>
        <w:t>A/2021/2015 - 21/22 - à un nouveau calcul et rende une nouvelle décision de prestations complémentaires conformément à ce qui précède.</w:t>
      </w:r>
    </w:p>
    <w:p>
      <w:r>
        <w:t>***</w:t>
      </w:r>
    </w:p>
    <w:p>
      <w:r>
        <w:t>A/2021/2015 - 22/22 - PAR CES MOTIFS, LA CHAMBRE DES ASSURANCES SOCIALES : Statuant À la forme : 1. Déclare le recours recevable en tant qu’il porte sur le montant des biens dessaisis. 2. Le déclare irrecevable pour le surplus. Au fond : 3. L’admet partiellement. 4. Annule la décision du 12 mai 2015. 5. Renvoie la cause à l’intimé pour nouveau calcul et nouvelle décision au sens des considérants. 6. Condamne l’intimé à verser à la recourante une indemnité de CHF 2'500.-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