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ATAS/454/2009 vom 3. Mai 2007</w:t>
      </w:r>
    </w:p>
    <w:p>
      <w:r>
        <w:t>GE Cour de justice, 2007-05-03, FR</w:t>
      </w:r>
    </w:p>
    <w:p>
      <w:r>
        <w:rPr>
          <w:b/>
        </w:rPr>
        <w:t xml:space="preserve">Quelle: </w:t>
      </w:r>
      <w:r>
        <w:t>https://mcp.opencaselaw.ch/entscheid/ge_gerichte_ATAS_454_2009</w:t>
      </w:r>
    </w:p>
    <w:p>
      <w:r>
        <w:t>FR: GE_GERICHTE ATAS/454/2009 du 3 mai 2007</w:t>
      </w:r>
    </w:p>
    <w:p>
      <w:r>
        <w:t>IT: GE_GERICHTE ATAS/454/2009 del 3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56V al. 2 let. b de la loi genevoise sur l'organisation judiciaire (LOJ), le Tribunal cantonal des assurances sociales connaît des contestations prévues à l’art. 39 de la loi cantonale sur les prestations cantonales accordées aux chromeurs en fin de droit du 18 novembre 1994 (LRMCAS; J 2 25). Sa compétence pour juger du cas d’espèce est ainsi établie.</w:t>
      </w:r>
    </w:p>
    <w:p>
      <w:r>
        <w:rPr>
          <w:b/>
        </w:rPr>
        <w:t>E. 2</w:t>
      </w:r>
    </w:p>
    <w:p>
      <w:r>
        <w:t>Le recours, interjeté en temps utile, est recevable (art. 38 LRMCAS).</w:t>
      </w:r>
    </w:p>
    <w:p>
      <w:r>
        <w:rPr>
          <w:b/>
        </w:rPr>
        <w:t>E. 3</w:t>
      </w:r>
    </w:p>
    <w:p>
      <w:r>
        <w:t>Le litige porte sur la remise de l'obligation de rembourser la somme de 1'710 fr., la question du principe et du montant de la restitution n'étant pas contestée.</w:t>
      </w:r>
    </w:p>
    <w:p>
      <w:r>
        <w:rPr>
          <w:b/>
        </w:rPr>
        <w:t>E. 4</w:t>
      </w:r>
    </w:p>
    <w:p>
      <w:r>
        <w:t>Aux termes de l'art. 20 al. 2 LRMCAS, le bénéficiaire qui était de bonne foi n'est tenu à restitution, totale ou partielle, que dans la mesure où il ne serait pas mis de ce fait dans une situation difficile.</w:t>
      </w:r>
    </w:p>
    <w:p>
      <w:r>
        <w:rPr>
          <w:b/>
        </w:rPr>
        <w:t>E. 5</w:t>
      </w:r>
    </w:p>
    <w:p>
      <w:r>
        <w:t>Par courrier du 2 avril 2009, le Président du conseil d'administration de l'Hospice général a reconnu que l'intéressée était de bonne foi et a, de ce fait, dans la mesure où la condition de la situation financière difficile était réalisée, proposé de renoncer à la demande de remboursement.</w:t>
      </w:r>
    </w:p>
    <w:p>
      <w:r>
        <w:t>A/298/2009 - 4/4 -</w:t>
      </w:r>
    </w:p>
    <w:p>
      <w:r>
        <w:rPr>
          <w:b/>
        </w:rPr>
        <w:t>E. 6</w:t>
      </w:r>
    </w:p>
    <w:p>
      <w:r>
        <w:t>Il convient de prendre acte de cette proposition. Il y a ainsi lieu de constater que les conditions, cumulatives, de l'art. 20 al. 2 LRMCAS, sont réunies et d'admettre le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