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ATAS/454/2008 vom 11. April 2008</w:t>
      </w:r>
    </w:p>
    <w:p>
      <w:r>
        <w:t>GE Cour de justice, 2008-04-11, FR</w:t>
      </w:r>
    </w:p>
    <w:p>
      <w:r>
        <w:rPr>
          <w:b/>
        </w:rPr>
        <w:t xml:space="preserve">Quelle: </w:t>
      </w:r>
      <w:r>
        <w:t>https://mcp.opencaselaw.ch/entscheid/ge_gerichte_ATAS_454_2008</w:t>
      </w:r>
    </w:p>
    <w:p>
      <w:r>
        <w:t>FR: GE_GERICHTE ATAS/454/2008 du 11 avril 2008</w:t>
      </w:r>
    </w:p>
    <w:p>
      <w:r>
        <w:t>IT: GE_GERICHTE ATAS/454/2008 del 11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7 mai 2007, est postérieure à l'entrée en vigueur de la LPGA ainsi qu'à l'entrée en vigueur, le 1er janvier 2004, des modifications de la loi fédérale sur l'assurance-invalidité du 21 mars 2003 (4ème révision). Par conséquent, du point de vue matériel, le droit éventuel à des prestations de l'assurance-invalidité doit être examiné au regard des nouvelles normes de la LPGA et des modifications de la LAI consécutives à la 4ème révision de cette loi, dans la mesure de leur pertinence (ATF 130 V 445 et les références; voir également ATF 130 V 329).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t>A/2281/2007 - 7/11 -</w:t>
      </w:r>
    </w:p>
    <w:p>
      <w:r>
        <w:rPr>
          <w:b/>
        </w:rPr>
        <w:t>E. 3</w:t>
      </w:r>
    </w:p>
    <w:p>
      <w:r>
        <w:t>Le litige porte sur le degré d'invalidité de l'assurée et sur son droit éventuel à des mesures professionnelles.</w:t>
      </w:r>
    </w:p>
    <w:p>
      <w:r>
        <w:rPr>
          <w:b/>
        </w:rPr>
        <w:t>E. 4</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w:t>
      </w:r>
    </w:p>
    <w:p>
      <w:r>
        <w:rPr>
          <w:b/>
        </w:rPr>
        <w:t>E. 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s'agissant de la valeur probante des rapports établis par les médecins traitants, le juge peut et doit tenir compte du fait que, selon l'expérience, le médecin</w:t>
      </w:r>
    </w:p>
    <w:p>
      <w:r>
        <w:t>A/2281/2007 - 8/11 -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6</w:t>
      </w:r>
    </w:p>
    <w:p>
      <w:r>
        <w:t>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7</w:t>
      </w:r>
    </w:p>
    <w:p>
      <w:r>
        <w:t>La recourante fait grief à l'administration d'avoir fondé son appréciation de sa capacité de travail sur le rapport du Dr E__________, auquel elle reproche d'avoir bâclé son examen. Force est cependant de constater que les constatations objectives du médecin, les limitations fonctionnelles relevées et les diagnostics posés sont corroborés par les rapports des médecins de l'assurée. Quant à la conclusion du Dr E__________, qui consiste à reconnaître à l'assurée une pleine capacité de travail dans une activité adaptée, elle n'est pas non plus contestée par les médecins traitants. Seule est contestée la conclusion selon laquelle l'activité d'ouvrière en horlogerie serait adaptée à l'état de la recourante. Sur ce point, il est vrai qu'il paraît difficile d'admettre que l'activité exercée par la recourante dans l'horlogerie ait été "ergonomique". Le technicien de l'atelier de Beau-Séjour, qui - contrairement au Dr E__________ - s'est enquis des conditions exactes de travail de l'intéressée, a d'ailleurs confirmé que tel n'était pas le cas. Cette question peut quoi qu'il en soit demeurer ouverte dans la mesure où il n'est pas contesté que les activités d'aide de bureau ou encore de standardiste-réceptionniste par exemple, seraient adaptées à ses limitations. Or, ainsi que l'a relevé l'intimé, l'assurée a déjà exercé ces professions par le passé, de sorte qu'un reclassement professionnel est inutile. D'ailleurs, son médecin ne parle que d'une "remise à niveau", ce qui relève plus de l'assurance-chômage que de l'assurance-invalidité. Il convient d'ailleurs de relever à cet égard que la recourante a bénéficié des prestations de l'assurance-chômage, qui l'a donc jugée apte au placement, ce qui corrobore la conclusion selon laquelle il n'y a pas d'atteinte invalidante en l'occurrence.</w:t>
      </w:r>
    </w:p>
    <w:p>
      <w:r>
        <w:t>A/2281/2007 - 9/11 -</w:t>
      </w:r>
    </w:p>
    <w:p>
      <w:r>
        <w:rPr>
          <w:b/>
        </w:rPr>
        <w:t>E. 8</w:t>
      </w:r>
    </w:p>
    <w:p>
      <w:r>
        <w:t>a) Pour la bonne forme, il convient néanmoins de procéder à une véritable comparaison des gains. En effet, selon l'art. 17 LAI, l'assuré a droit au reclassement dans une nouvelle profession si son invalidité rend cette mesure nécessaire et si sa capacité de gain peut ainsi, selon toute vraisemblance, être sauvegardée ou améliorée (al.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b)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A/2281/2007 - 10/11 -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c) En l'occurrence, il y a donc lieu de comparer le revenu qu'aurait réalisé l'assurée sans atteinte à la santé en 2006, soit 56'246 fr., à celui qu'elle aurait pu obtenir la même année selon les statistiques. Il convient de se référer au tableau TA1 de l'Enquête suisse sur la structure des salaires [ESS], niveau 4, ce qui correspond aux activités simples et répétitives offertes par les secteurs de la production et des services. Il existe en effet un nombre significatif de postes de travail sédentaires, n'exigeant pas de port de charges et permettant l'alternance des positions dans les domaines susmentionnés. On obtient ainsi un revenu d'invalide de (4'019.- par mois pour un horaire de 40 h./sem. = 4'190.- par mois pour un horaire de 40.7 h./sem.. = 50'278.- par année). La comparaison de ces deux revenus conduit à admettre un degré d'invalidité de 10.6%, insuffisant pour ouvrir droit à un reclassement professionnel.</w:t>
      </w:r>
    </w:p>
    <w:p>
      <w:r>
        <w:rPr>
          <w:b/>
        </w:rPr>
        <w:t>E. 9</w:t>
      </w:r>
    </w:p>
    <w:p>
      <w:r>
        <w:t>Dans ces circonstances, c'est à bon droit que l'intimé a refusé l'octroi de prestations.</w:t>
      </w:r>
    </w:p>
    <w:p>
      <w:r>
        <w:rPr>
          <w:b/>
        </w:rPr>
        <w:t>E. 10</w:t>
      </w:r>
    </w:p>
    <w:p>
      <w:r>
        <w:t>L'émolument, fixé à 200 fr., est mis à la charge du recourant qui succombe (art. 69 al. 1 bis LAI).</w:t>
      </w:r>
    </w:p>
    <w:p>
      <w:r>
        <w:t>A/2281/2007 - 11/11 -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