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ATAS/453/2011 vom 9. Mai 2011</w:t>
      </w:r>
    </w:p>
    <w:p>
      <w:r>
        <w:t>GE Cour de justice, 2011-05-09, FR</w:t>
      </w:r>
    </w:p>
    <w:p>
      <w:r>
        <w:rPr>
          <w:b/>
        </w:rPr>
        <w:t xml:space="preserve">Quelle: </w:t>
      </w:r>
      <w:r>
        <w:t>https://mcp.opencaselaw.ch/entscheid/ge_gerichte_ATAS_453_2011</w:t>
      </w:r>
    </w:p>
    <w:p>
      <w:r>
        <w:t>FR: GE_GERICHTE ATAS/453/2011 du 9 mai 2011</w:t>
      </w:r>
    </w:p>
    <w:p>
      <w:r>
        <w:t>IT: GE_GERICHTE ATAS/453/2011 del 9 maggio 2011</w:t>
      </w:r>
    </w:p>
    <w:p>
      <w:pPr>
        <w:pStyle w:val="Heading2"/>
      </w:pPr>
      <w:r>
        <w:t>Erwägungen</w:t>
      </w:r>
    </w:p>
    <w:p>
      <w:r>
        <w:rPr>
          <w:b/>
        </w:rPr>
        <w:t>E. 1</w:t>
      </w:r>
    </w:p>
    <w:p>
      <w:r>
        <w:t>La recevabilité et le droit applicable ayant déjà été examinés dans le cadre de l’ordonnance d’expertise du 7 octobre 2010, il n’y sera pas revenu. En ce qui concerne la compétence ratione materiae, il sera précisé que dès le 1er janvier 2011, la Chambre des assurances sociales de la Cour de justice reprend la procédure pendante devant le Tribunal cantonal des assurances sociales (art. 143 al. 6 de la LOJ du 26 septembre 2010). Sa compétence pour juger du cas d’espèce est ainsi établie.</w:t>
      </w:r>
    </w:p>
    <w:p>
      <w:r>
        <w:rPr>
          <w:b/>
        </w:rPr>
        <w:t>E. 2</w:t>
      </w:r>
    </w:p>
    <w:p>
      <w:r>
        <w:t>Le litige porte sur le droit du recourant à une rente d’invalidité dès le 1er février 2007 et au-delà du 31 août 2007. La décision dont est recours concernant le versement d’une rente limitée dans le temps, du 1er au 31 août 2007, est fondée sur la problématique somatique du recourant (fracture au poignet gauche), laquelle avait engendré une totale incapacité de travail dans toutes les activités lucratives du 1er février 2006 jusqu’au 31 août 2007. Dans la mesure où, dans le cadre de l’ordonnance d’expertise du 7 octobre 2010, il a été conféré valeur probante à l’examen rhumatologique effectué par le SMR durant le mois de juillet 2007, la seule question restant à discuter porte sur les troubles psychiatriques du recourant et sur leurs conséquences sur sa capacité de travail.</w:t>
      </w:r>
    </w:p>
    <w:p>
      <w:r>
        <w:rPr>
          <w:b/>
        </w:rPr>
        <w:t>E. 3</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4</w:t>
      </w:r>
    </w:p>
    <w:p>
      <w:r>
        <w:t>Aux termes de l’art. 8 al. 1er LPGA, est réputée invalidité l’incapacité de gain totale ou partielle qui est présumée permanente ou de longue durée. Selon l’art. 4 al. 1er LAI, l’invalidité peut résulter d’une infirmité congénitale, d’une maladie ou d’un</w:t>
      </w:r>
    </w:p>
    <w:p>
      <w:r>
        <w:t>A/1145/2010 - 12/20 -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5</w:t>
      </w:r>
    </w:p>
    <w:p>
      <w:r>
        <w:t>a) Selon l’art. 28 al. 1er LAI dans sa teneur en vigueur du 1er janvier 2004 au 31 décembre 2007 (art. 28 al. 2 LAI dans sa teneur dès le 1er janvier 2008), l’assuré a droit à une rente entière s’il est invalide à 70% au moins, à un trois quarts de rente s’il est invalide à 60% au moins, à une demi-rente s’il est invalide à 50% au moins ou à un quart de rente s’il est invalide à 40% au moins. b) D’après l’art. 29 al. 1er LAI dans sa teneur en vigueur du 1er janvier 1998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dans sa teneur en vigueur du 1er janvier 1998 au 31 décembre 2007,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Toutefois,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(art. 48 al. 2 LAI dans sa teneur jusqu’au 31 décembre 2007). c) De plus, en vertu de l’art. 88a du règlement du 17 janvier 1961 sur l’assurance- invalidité (RAI ; 831.201), si la capacité de gain ou la capacité d’accomplir les travaux habituels d’un assuré s’améliore ou que son impotence ou le besoin de soins découlant de l’invalidité s’atténue, il y a lieu de considérer que ce changement</w:t>
      </w:r>
    </w:p>
    <w:p>
      <w:r>
        <w:t>A/1145/2010 - 13/20 -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1er).</w:t>
      </w:r>
    </w:p>
    <w:p>
      <w:r>
        <w:rPr>
          <w:b/>
        </w:rPr>
        <w:t>E. 6</w:t>
      </w:r>
    </w:p>
    <w:p>
      <w:r>
        <w:t>a) À teneur de l’art. 6 LAI, les ressortissants suisses et étrangers ainsi que les apatrides ont droit aux prestations conformément aux dispositions de la loi, l’art. 39 étant réservé (al. 1er).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(al. 2)</w:t>
      </w:r>
    </w:p>
    <w:p>
      <w:r>
        <w:t>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1er janvier 2008, cette durée a été portée à trois ans (art. 36 al. 1 LAI).</w:t>
      </w:r>
    </w:p>
    <w:p>
      <w:r>
        <w:t>b)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dont le recourant est ressortissant (cf. sur l'applicabilité de cette convention aux relations entre la Suisse et les anciennes parties de la Yougoslavie: ATF 122 V 381 consid. 1 p. 382; 126 V 198 consid.2b p. 203 sv.; cf. également ATF 132 II 65 consid. 3.5.2 p. 73 sv.).</w:t>
      </w:r>
    </w:p>
    <w:p>
      <w:r>
        <w:t>Sous réserve de dispositions particulières de la présente Convention et de son Protocole final, qui ne trouvent pas application en l’espèce, les ressortissants suisses et de Bosnie-Herzégovine jouissent de l’égalité de traitement quant aux droits et aux obligations résultant des dispositions de la LAI (art. 2 de la convention).</w:t>
      </w:r>
    </w:p>
    <w:p>
      <w:r>
        <w:t>c)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w:t>
      </w:r>
    </w:p>
    <w:p>
      <w:r>
        <w:t>A/1145/2010 - 14/20 - apprend, pour la première fois, que l’atteinte à sa santé peut ouvrir droit à des prestations d’assurance. 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LAI ; ATF 126 V 5 9 consid. 2b et références y citées).</w:t>
      </w:r>
    </w:p>
    <w:p>
      <w:r>
        <w:t>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Un nouveau cas d’assurance a été nié pour une assurée qui avait certes repris une activité lucrative pendant trois ans environ, mais qui était fréquemment absente en raison de maladie ou pour un assuré qui n’avait jamais réellement pu se réinsérer dans la vie professionnelle, car sa maladie (asthme) se décompensait à chaque fois qu’il débutait une activité (cf. ATF 126 V 5 10 consid. 2c ; ATFA non publié du 13 janvier 2004 I 54/03 consid. 3).</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A/1145/2010 - 15/20 -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A/1145/2010 - 16/20 -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a) En l’espèce, une expertise psychiatrique a été mise en œuvre par le Tribunal cantonal des assurances sociales, laquelle a été confiée au Dr G________. Le rapport de cet expert daté du 23 décembre 2010 présente valeur probante au sens de la jurisprudence. En effet, il a été établi sur la base de deux entretiens avec le recourant espacés de trois semaines, sur deux entretiens téléphoniques avec le médecin et la psychologue suivant le recourant, ainsi que sur la base des pièces du dossier, d’une anamnèse familiale, personnelle et médicale et d’un exposé des plaintes du recourant. En outre, l’expert a clairement posé les diagnostics dont souffrait le recourant, a exposé ses constatations objectives, a procédé à une discussion du cas et a motivé ses conclusions de manière convaincante. En effet, il a retenu que le recourant souffrait d’une modification durable de la personnalité après une expérience de catastrophe et d’un épisode dépressif moyen avec syndrome somatique. Il a également expliqué quelles étaient les circonstances de sa détention durant huit ans, soit notamment les mauvais traitements qu’il a subi dès son adolescence, ainsi que les conséquences actuelles de cette période de captivité sur son comportement envers autrui, envers lui-même ou sur ses ressources intellectuelles et psychiques notamment. On comprend que les troubles psychiatriques du recourant, lesquels étaient fortement imbriqués, engendraient des limitations très importantes et étaient d’une gravité telle qu’une reprise d’une activité lucrative ne pouvait actuellement être envisagée et qu’une amélioration de son état de santé allait nécessiter des années de prise en charge (psychothérapie, ergo- et physiothérapie, mesures socio-éducatives ainsi que véritable encadrement et soutien psychosocial). Par ailleurs, l’expert a estimé que le trouble de la personnalité était présent lors de l’arrivée en Suisse du recourant, que celui-ci avait toutefois réussi à mobiliser son énergie psychique, dans un premier temps, en exerçant une activité lucrative, mais qu’il s’était épuisé face à l’énorme difficulté de surmonter son vécu extrêmement perturbant (huit ans comme prisonnier de guerre, portant l’uniforme de l’ennemi), de sorte que dès le mois de février 2006, sa capacité de travail devait être considérée comme nulle dans toutes les activités lucratives en raison de ses problèmes psychiques. Enfin, il est également compréhensible, comme l’expose l’expert, que l’examen psychiatrique du SMR avait été établi de manière superficielle, attendu qu’il ne se basait que sur les dires du recourant et sur les observations des examinateurs durant un seul entretien, alors</w:t>
      </w:r>
    </w:p>
    <w:p>
      <w:r>
        <w:t>A/1145/2010 - 17/20 - même que la problématique était complexe et que le recourant n’arrivait ni à extérioriser son vécu ni à l’admettre, et ce d’autant moins lors d’un premier entretien. Pour le surplus, la Cour de céans ne met en exergue aucune circonstance particulière permettant de douter de l’indépendance de l’examinateur, de sorte que son rapport présente valeur probante au sens de la jurisprudence. b) Le contenu de ce rapport d’expertise a toutefois été remis en cause par la Dresse C__________, médecin auprès du SMR. Le Tribunal cantonal des assurances sociales n’a pas accordé de valeur probante à l’examen psychiatrique de la Dresse C__________ du 22 juillet 2010 dans le cadre de son ordonnance d’expertise, eu égard notamment à l’absence de motivation suffisante. Par ailleurs, l’avis de la Dresse C__________ du 18 février 2011 n’est pas convaincant. En effet, celle-ci sort notamment les propos de l’expert de leur contexte et conteste les déclarations de celui-ci sans tenir compte de ses explications. On ne voit tout d’abord pas en quoi le fait que le recourant sollicite une rente entière d’invalidité, sans toutefois qu’une attitude particulièrement revendicative ait été relevée, ne soit pas compatible avec le fait que le recourant se soit renfermé au fil des années, en ce sens qu’il n’évoque plus, d’après les dires du Dr A__________, certains événements de son vécu traumatisant. On ne peut d’ailleurs exclure que le recourant ait été aidé dans le cadre de la présente procédure. En outre, la Dresse C__________ estime que l’expert n’aurait pas tenu compte des déclarations du recourant résultant de l’examen du 22 juillet 2009 (examen unique), lors duquel il décrivait une vie quotidienne normale. L’expert a souligné à cet égard, à plusieurs reprises, que le recourant était dans le déni et qu’il ne s’ouvrait pas au premier abord, mais nécessitait pour ce faire d’un cadre particulièrement rassurant et d’une certaine confiance en ses interlocuteurs, ce qui explique pourquoi l’anamnèse de la Dresse C__________, qui n’a vu le recourant qu’à une reprise, et celle de l’expert, qui l’a rencontré à deux reprises et qui s’est entretenu tant avec un médecin qu’avec une psychologue suivant le recourant, diffèrent de manière substantielle. Le médecin du SMR considère également que la modification durable de la personnalité ne pouvait pas être responsable d’une incapacité de travail, attendu que le recourant avait réussi à exercer une activité lucrative jusqu’en 2006. A cet égard, l’expert a expliqué, de manière convaincante, que le recourant avait certes pu entreprendre une activité pendant plusieurs années, en arrivant à mobiliser son énergie, mais qu’il s’était épuisé au fil du temps, au vu de l’importance de son vécu, qui avait été psychiquement traumatisant. En outre, il est difficile de comprendre les raisons pour lesquelles l’expert se contredirait, d’après le médecin du SMR, en affirmant d’une part, que le recourant était incapable de se concentrer et d’emmagasiner les cours de français et d’autre part,</w:t>
      </w:r>
    </w:p>
    <w:p>
      <w:r>
        <w:t>A/1145/2010 - 18/20 - qu’il disposait de peu de ressources intellectuelles avant la guerre. Quoi qu’il en soit, même si aucune pièce au dossier n’atteste du fait que le recourant ne possédait que peu de ressources avant la guerre, cela n’a pas d’incidence sur l’état de santé psychique actuel du recourant, lequel est dûment documenté. Il sied également de remarquer que le rapport du Dr A__________ du 17 décembre 2008 n’était pas aussi rassurant que semble le déclarer la Dresse C__________. En effet, bien que le Dr A__________ ait indiqué qu’une reprise de l’activité lucrative puisse intervenir eu égard au résultat du traitement de l’algoneurodystrophie, il a également déclaré que le recourant souffrait notamment d’une modification durable de la personnalité après expérience de catastrophe et d’un syndrome de stress post-traumatique avec une hyper vigilance et des réminiscences et a conclu qu’une reprise de l’activité professionnelle dépendait du résultat tant des traitements de l’algoneurodystrophie que de ceux des atteintes psychologiques. Enfin, en ce qui concerne les facteurs psychosociaux, il convient de constater qu’ils n’ont effectivement pas empêché le recourant de travailler et qu’il n’ont ainsi pas d’incidence sur l’incapacité de travail du recourant. Pour le surplus, la Dresse C__________ n’explique pas sur quels éléments elle se fonde pour affirmer que l’expert est empathique. Quoi qu’il en soit, elle ne fait pas état d’éléments objectivement vérifiables qui auraient été ignorés dans le cadre de l’expertise. Au vu de ces éléments, l’avis de la Dresse C__________, qui n’a rencontré le recourant qu’à une seule reprise et qui ne s’est pas entretenu, comme l’expert psychiatre, avec le médecin et la psychologue suivant le recourant, ne saurait remettre en cause les conclusions motivées et convaincantes du Dr G________. c) Partant, il y a lieu de conclure à la pleine valeur probante du rapport d’expertise du 23 décembre 2010. Il sied ainsi de retenir, au degré de la vraisemblance prépondérante prévu par la jurisprudence, que bien que le trouble de la personnalité du recourant ait déjà été présent à son arrivée en Suisse, le recourant a réussi à le surmonter pendant un certain temps, soit notamment durant la période courant du 14 avril 2004 au 31 janvier 2006, période durant laquelle il a travaillé à plein temps en qualité de nettoyeur. Ce trouble, accompagné d’un épisode dépressif moyen, avec syndrome somatique, a engendré dès le 1er février 2006 au plus tard, indépendamment de l’existence des atteintes somatiques, une totale incapacité de travail dans toutes les activités lucratives et ce de manière indéterminée.</w:t>
      </w:r>
    </w:p>
    <w:p>
      <w:r>
        <w:rPr>
          <w:b/>
        </w:rPr>
        <w:t>E. 9</w:t>
      </w:r>
    </w:p>
    <w:p>
      <w:r>
        <w:t>En outre, l’incapacité de travail durable du recourant a débuté en date du 1er février 2006, de sorte qu’en principe, il a droit à une rente d’invalidité dès le 1er février 2007, soit une année après le début de son incapacité de gain durable (art. 29 al. 1 LAI). Toutefois, le recourant ayant déposé sa demande de prestations auprès de l’intimé seulement durant le mois d’août 2008, son droit à la rente ne prend naissance que le 1er août 2007 (art. 29 al. 2 LAI et 48 al. 2 LAI).</w:t>
      </w:r>
    </w:p>
    <w:p>
      <w:r>
        <w:t>A/1145/2010 - 19/20 - A ce moment-là, pour qu’un ressortissant de Bosnie-Herzégovine puisse percevoir une rente d’invalidité de l’assurance-invalidité, il devait avoir cotisé durant une année (art. 6 al. 2 et 36 al. 1 LAI), condition que le recourant remplit. Enfin, il convient de retenir que conformément au rapport d’expertise, l’état de santé psychique du recourant s’est amélioré d’une manière importante, pendant une durée conséquente, en ce sens qu’il a en tous les cas travaillé pendant près de deux ans à plein temps en qualité de nettoyeur au sein de X__________ SA. De plus, durant cette période courant du 14 avril 2004 au 31 janvier 2006, il a uniquement été absent pendant trois semaines en raison d’un accident, soit du 7 au 28 octobre 2005, de sorte qu’il peut être conclu qu’il n’a pas été absent de manière répétée durant cette période. Force est dès lors de constater que même si l’invalidité du recourant, était préexistante à son arrivée en Suisse, elle a manifestement été interrompue de manière notable entre le mois d’avril 2004 et le début de l’année 2007. On se trouve dès lors en présence d’un nouveau cas d’assurance au sens de la jurisprudence citée ci-dessus.</w:t>
      </w:r>
    </w:p>
    <w:p>
      <w:r>
        <w:rPr>
          <w:b/>
        </w:rPr>
        <w:t>E. 10</w:t>
      </w:r>
    </w:p>
    <w:p>
      <w:r>
        <w:t>Par conséquent et attendu que le degré d’invalidité se confond en l’espèce avec celui de l’incapacité de travail (Arrêt du Tribunal fédéral I 43/05 du 30 juin 2006, consid. 5.2), le recourant a droit à une rente entière d’invalidité dès le 1er août 2007, sans limitation de durée. Son recours sera ainsi partiellement admis, attendu qu’il n’obtient pas l’entier de ses conclusions.</w:t>
      </w:r>
    </w:p>
    <w:p>
      <w:r>
        <w:rPr>
          <w:b/>
        </w:rPr>
        <w:t>E. 11</w:t>
      </w:r>
    </w:p>
    <w:p>
      <w:r>
        <w:t>Au vu de l’issue du litige, la procédure de recours en matière de contestations portant sur l’octroi ou le refus de prestations de l’AI étant soumise à des frais de justice, l’émolument à la charge de l’intimé sera fixé à 200 fr. (art. 69 al. 1bis LAI).</w:t>
      </w:r>
    </w:p>
    <w:p>
      <w:r>
        <w:t>A/1145/2010 - 20/20 -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