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ATAS/453/2009 vom 5. März 2008</w:t>
      </w:r>
    </w:p>
    <w:p>
      <w:r>
        <w:t>GE Cour de justice, 2008-03-05, FR</w:t>
      </w:r>
    </w:p>
    <w:p>
      <w:r>
        <w:rPr>
          <w:b/>
        </w:rPr>
        <w:t xml:space="preserve">Quelle: </w:t>
      </w:r>
      <w:r>
        <w:t>https://mcp.opencaselaw.ch/entscheid/ge_gerichte_ATAS_453_2009</w:t>
      </w:r>
    </w:p>
    <w:p>
      <w:r>
        <w:t>FR: GE_GERICHTE ATAS/453/2009 du 5 mars 2008</w:t>
      </w:r>
    </w:p>
    <w:p>
      <w:r>
        <w:t>IT: GE_GERICHTE ATAS/453/2009 del 5 marzo 2008</w:t>
      </w:r>
    </w:p>
    <w:p>
      <w:pPr>
        <w:pStyle w:val="Heading2"/>
      </w:pPr>
      <w:r>
        <w:t>Erwägungen</w:t>
      </w:r>
    </w:p>
    <w:p>
      <w:r>
        <w:rPr>
          <w:b/>
        </w:rPr>
        <w:t>E. 13</w:t>
      </w:r>
    </w:p>
    <w:p>
      <w:r>
        <w:t>avril 2006, C 169/05 a contrario) ; Que l'assurée a été mise au bénéfice d'un quart de rente d'invalidité du 1er juin 2006 au 28 février 2007 ; qu'elle ne peut dès lors pas prétendre au versement d'une rente en sa faveur au-delà de cette date ; qu'elle l'a pourtant reçue jusqu'en octobre 2008 ; Qu'en vertu de l’art. 25 al. 1 LPGA, les prestations indûment touchées doivent être restituées ; que depuis le 1er janvier 2003, cette disposition est applicable en matière de prestations AI (art. 1er al. 1 LAI en corrélation avec l'art. 2 LPGA) ; qu'en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(Patrice Keller, La restitution des prestations indûment touchées dans la LPGA, in : Partie générale du droit des assurances sociales, Lausanne 2003, p. 149 ss, plus spécialement p. 167 ss) ; Qu'en l’occurrence, l'assurée a perçu des prestations auxquelles elle n’avait pas droit de mars 2007 à octobre 2008 ; qu'elle est dès lors tenue de les restituer à l’OCAI ; Que comme par le passé, l'obligation de restituer suppose, conformément à la jurisprudence rendue à propos de l'art. 47 al. 1 LAVS ou de l'art. 95 LACI (ATF 129 V 110 consid. 1.1, 126 V 23 consid. 4b, 122 V 21 consid. 3a, 368 consid. 3, et les arrêts cités) que soient remplies les conditions d'une reconsidération ou d'une révision procédurale de la décision - formelle ou non - par laquelle les prestations en cause ont été allouées (Ueli KIESER, op. cit., note 2 ss ad art. 25; Thomas LOCHER, Grundriss des Sozialversicherungsrechts, Berne 2003 § 42, p. 279; Edgar IMHOF/Christian ZÜND, ATSG und Arbeitslosenversicherung, in: RSAS 2003 p. 304 sv. [à propos de l'art. 95 LACI]; Jürg BRECHBÜHL, Umsetzung des ATSG auf Verordnungsebene / Verordnung zum Allgemeinen Teil des Sozialversicherungsrechts, in: Bundesgesetz über den Allgemeinen Teil des Sozialversicherungsrechts [ATSG], Saint-Gall 2003, p. 208; ATF 130 V 319) ; Qu'en l’espèce, ces conditions sont remplies ; que la caisse a, à tort, continué à verser à l'assurée le quart de rente d'invalidité après février 2008 ;</w:t>
      </w:r>
    </w:p>
    <w:p>
      <w:r>
        <w:t>A/113/2009 - 5/7 - Que selon l’art. 25 al. 2 première phrase LPGA, le droit de demander la restitution s’éteint un an après le moment où l’institution d’assurance a eu connaissance du fait, mais au plus tard cinq ans après le versement de la prestation ; Qu'en l'espèce, la caisse a constaté en octobre 2008 qu'elle n'avait pas limité à fin février 2008 son versement ; Qu'il y a ainsi lieu de conclure qu'ayant notifié sa décision de restitution le 12 décembre 2008, l'OCAI a agi dans le délai d'un an prévu par l'art. 25 al. 2 LPGA ; qu'il a également respecté le délai de cinq ans, puisqu'il réclame dans la décision litigieuse le remboursement des prestations versées à tort à compter de mars 2007 ; Que la restitution ne peut être exigée lorsque l'intéressé était de bonne foi et que la restitution le mettrait dans une situation difficile ; que les deux conditions sont cumulatives ; Que l’OCAI et la caisse ont considéré que la condition de la bonne foi n’était pas remplie, du fait que l’assurée avait failli à son obligation de renseigner sur une modification de sa situation ; Que la violation de l’obligation de renseigner l’OCAI n’est toutefois pas suffisante pour admettre que l’assuré n’était pas de bonne foi ; que la jurisprudence a en effet considéré que l'ignorance, par le bénéficiaire des prestations, du fait qu'il n'avait pas droit aux prestations ne suffit pas pour admettre qu'il était de bonne foi ; qu'il faut bien plutôt qu'il ne se soit rendu coupable, non seulement d'aucune intention malicieuse, mais aussi d'aucune négligence grave ; qu'il s'ensuit que la bonne foi, en tant que condition de la remise, est exclue d'emblée lorsque les faits qui conduisent à l'obligation de restituer (violation du devoir d'annoncer ou de renseigner) sont imputables à un comportement dolosif ou à une négligence grave ; qu'il y a négligence grave quand un ayant droit ne se conforme pas à ce qui peut raisonnablement être exigé d'une personne capable de discernement dans une situation identique et dans les mêmes circonstances (ATF 110 V 181 consid. 3d) ; qu'en revanche, l'intéressé peut invoquer sa bonne foi lorsque l'acte ou l'omission fautifs ne constituent qu'une violation légère de l'obligation d'annoncer ou de renseigner (ATF 112 V 103 consid. 2c, 110 V 180 consid. 3c; DTA 2002 n° 38 p. 258 consid. 2a, 2002 n° 18 p. 162 consid. 3a, 2001 n° 18 p. 162 consid. 3a) ; Que le Tribunal fédéral des assurances a notamment admis qu’il y avait négligence grave dans le cas où - après le décès d’un bénéficiaire de rente AVS - la rente, ou bien des PC s’y ajoutant et dont le montant était resté le même (RCC 1977, p. 449 ; RCC 1986, p.664), étaient encaissées par les proches ; qu'il a de même considéré que le fait d’avoir passé sous silence, pendant près de neuf mois, le changement de statut intervenu à la suite d’un jugement de divorce et d’avoir ainsi continué à percevoir la rente complémentaire pour épouse constituait une négligence grave (ATFA non publié du 14 avril 2003 en la cause I 83/02) ;</w:t>
      </w:r>
    </w:p>
    <w:p>
      <w:r>
        <w:t>A/113/2009 - 6/7 - Qu'en l’espèce, il n'est quoi qu'il en soit pas question de reprocher à l'assurée de n'avoir pas informé l'OCAI d'une modification de sa situation ; qu'en effet, tel n'a pas été le cas ; qu'elle n'avait aucune raison d'informer l'autorité d'un fait que celle-ci connaissait nécessairement ; qu'en revanche, il s'agit de se demander si elle pouvait ou non comprendre qu'une erreur était commise par l'office compétent pour servir la rente ; Qu'on ne saurait à cet égard considérer qu'il y ait bonne foi lorsque l'intéressé ne s'est pas conformé à ce qui peut être raisonnablement exigé de toute personne capable de discernement dans une situation identique et dans les mêmes circonstances (ATF 110 V 181) ; que la bonne foi doit en effet être niée quand l'enrichi pouvait au moment du versement s'attendre à son obligation de restituer parce qu'il savait ou devait savoir en faisant preuve de l'attention requise que la prestation était indue (art. 3 al. 2 CC; BGE 130 V 414) ; Qu'il y a lieu de relever que c'est par un projet de décision que l'assurée a été informée de ce qu'elle n'avait droit qu'à une rente limitée au 28 février 2007 ; que la décision elle- même ne fait en revanche plus mention de cette date-limite ; qu'il est vraisemblable que l'assurée ait pu penser que seule la décision faisait foi quand bien même la motivation était également jointe à celle-ci ; qui plus est tant le projet de décision que la décision du 5 mars 2008 lui ont été transmis par l'OCAI, soit par la même autorité ; Que dans ces circonstances, on peut admettre que la recourante était de bonne foi en acceptant les prestations indues ; que c'est donc à tort que la remise de l'obligation de restituer lui a été refusée par l'intimé, considérant que cette condition n'était pas remplie ; que, partant, le recours est bien fondé et la décision attaquée doit être annulée ; Que cela étant, la première des conditions prévues à l'art. 25 LPGA étant remplie, il convient de renvoyer la cause à l'intimé afin qu'il examine la demande de remise sous l'angle de la seconde, à savoir la condition financière, et rende une nouvelle décision à cet égard ;</w:t>
      </w:r>
    </w:p>
    <w:p>
      <w:r>
        <w:t>A/113/2009 - 7/7 -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