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ATAS/452/2009 vom 21. April 2009</w:t>
      </w:r>
    </w:p>
    <w:p>
      <w:r>
        <w:t>GE Cour de justice, 2009-04-21, FR</w:t>
      </w:r>
    </w:p>
    <w:p>
      <w:r>
        <w:rPr>
          <w:b/>
        </w:rPr>
        <w:t xml:space="preserve">Quelle: </w:t>
      </w:r>
      <w:r>
        <w:t>https://mcp.opencaselaw.ch/entscheid/ge_gerichte_ATAS_452_2009</w:t>
      </w:r>
    </w:p>
    <w:p>
      <w:r>
        <w:t>FR: GE_GERICHTE ATAS/452/2009 du 21 avril 2009</w:t>
      </w:r>
    </w:p>
    <w:p>
      <w:r>
        <w:t>IT: GE_GERICHTE ATAS/452/2009 del 21 aprile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t>A/2581/2008 - 7/17 -</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décision litigieuse du 12 juin 2008, est postérieure à l’entrée en vigueur de la LPGA ainsi qu’à l’entrée en vigueur, le 1er janvier 2004, des modification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La loi fédérale du 16 décembre 2005 modifiant la LAI est entrée en vigueur le 1er juillet 2006 (RO 2006 2003), apportant des modifications qui concernent notamment la procédure conduite devant le Tribunal cantonal des assurances (art. 56, 58 et 60 let. a LPGA). Le présent cas est soumis au nouveau droit, dès lors que le recours de droit administratif a été formé après le 1er juillet 2006 (ch. II let. c des dispositions transitoires relative à la modification du 16 décembre 2005).</w:t>
      </w:r>
    </w:p>
    <w:p>
      <w:r>
        <w:rPr>
          <w:b/>
        </w:rPr>
        <w:t>E. 3</w:t>
      </w:r>
    </w:p>
    <w:p>
      <w:r>
        <w:t>Interjeté dans les forme et délai prévus par la loi, le présent recours est recevable (56 à 60 LPGA).</w:t>
      </w:r>
    </w:p>
    <w:p>
      <w:r>
        <w:rPr>
          <w:b/>
        </w:rPr>
        <w:t>E. 4</w:t>
      </w:r>
    </w:p>
    <w:p>
      <w:r>
        <w:t>La question litigieuse est celle de savoir si c’est à juste titre que l’OCAI a nié le droit de l’assurée à une rente d’invalidité et à des mesures d’ordre professionnel sous forme de reclassement.</w:t>
      </w:r>
    </w:p>
    <w:p>
      <w:r>
        <w:rPr>
          <w:b/>
        </w:rPr>
        <w:t>E. 5</w:t>
      </w:r>
    </w:p>
    <w:p>
      <w:r>
        <w:t>Est réputée invalidité l’incapacité de gain totale ou partielle présumée permanente ou de longue durée, résultant d’une infirmité congénitale, d’une maladie ou d’un accident (art. 8 al. 1 LPGA et 4 al. 1 LAI).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t>A/2581/2008 - 8/17 -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w:t>
      </w:r>
    </w:p>
    <w:p>
      <w:r>
        <w:t>A/2581/2008 - 9/17 -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Le but de l’expertise pluridisciplinaire est d’obtenir une collaboration entre différents praticiens et d’éviter les contradictions que pourraient entraîner des examens trop spécialisés, menés indépendamment les uns des autres. En effet, il convient de s’attacher à la discussion globale menée par les experts du Centre d’observation médicale de l’assurance-invalidité (COMAI) plutôt qu’aux rapports forcément sectoriels et limités des différents spécialistes consultés en cours d’expertise (ATFA non publiés du 13 mars 2006 [I 16/05] et du 4 juillet 2005 [I 228/04]).</w:t>
      </w:r>
    </w:p>
    <w:p>
      <w:r>
        <w:t>A/2581/2008 - 10/17 -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Le Tribunal fédéral a jugé que l’indépendance et l’impartialité des médecins du Centre d’observation médicale de l’assurance-invalidité (COMAI) étaient garanties déjà avant l’entrée en vigueur de leur nouveau statut du 1er juin 1994 (ATF 123 V 175 ; cf. également RAMA 1999 n° U 332 p. 193).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w:t>
      </w:r>
    </w:p>
    <w:p>
      <w:r>
        <w:t>A/2581/2008 - 11/17 - p. 28 consid. 4b), la jurisprudence rendue sous l’empire de l’art. 4 aCst. étant toujours valable (ATF 124 V 94 consid. 4b, 122 V 162 consid. 1d).</w:t>
      </w:r>
    </w:p>
    <w:p>
      <w:r>
        <w:rPr>
          <w:b/>
        </w:rPr>
        <w:t>E. 8</w:t>
      </w:r>
    </w:p>
    <w:p>
      <w:r>
        <w:t>En l’espèce, l’assurée a été soumise à une expertise COMAI diligentée par des spécialistes en rhumatologie, en médecine interne et en psychiatrie et psychothérapie. Les experts ont retenu les diagnostics de trouble mixte de la personnalité avec des traits de personnalité passifs-agressifs et narcissiques (F61.0), ayant une répercussion sur la capacité de travail, ainsi que d’obésité, de dysthymie (F34.1) depuis 2000 environ, de syndrome douloureux somatoforme persistant (F45.4) depuis 2000 et de syndrome douloureux fémoro-patellaire sur hyperpression externe, ces diagnostics n’ayant pas de répercussion sur la capacité de travail. Les seules limitations fonctionnelles concernaient la susceptibilité ainsi que la fragilité psychique de l’assurée. L’assurée présentait, selon eux, une entière capacité de travail dans l’activité précédente, mais ils ont admis qu’il était préférable qu’elle exerce une activité adaptée, soit une activité physiquement peu contraignante comme la couture ainsi que sans situations de confrontation et sans exigences trop importantes dès le début de l’activité. Le rendement de l’assurée était transitoirement diminué de 30%, mais pouvait être augmenté à 100% dans un délai d’une année à partir de la mise en place d’une psychothérapie de soutien et de la prise régulière du traitement pharmacologique. Il y a lieu de constater que le rapport d’expertise se fonde tout d’abord sur une anamnèse tant familiale, personnelle, socioprofessionnelle que médicale ainsi que sur les plaintes somatiques et psychiques de l’assurée. Un examen clinique complet portant sur toutes les atteintes de l’assurée a également été effectué et les constatations objectives ont été exposées. Les conclusions, rendues au terme d’une discussion consensuelle du cas, sont clairement motivées, les experts ayant notamment expliqué les raisons les amenant à conclure à un syndrome douloureux somatoforme persistant, à l’absence de limitations fonctionnelles du point de vue somatique et à une entière capacité de travail dans toute activité lucrative avec diminution de rendement de 30% pendant une période d’une année. Les conclusions n’apparaissent pas en contradiction avec les constatations cliniques rapportées dans le cadre de l’expertise. Enfin, ce rapport ne contient aucun indice pouvant mettre en doute son bien-fondé. Le rapport d’expertise, aboutissant à des résultats convaincants, a ainsi a priori pleine valeur probante, ce qui n’est du reste pas contesté par l’assurée. Dans leur rapport du 11 avril 2008, les médecins du Centre multidisciplinaire d’étude et de traitement de la douleur des HUG ont posé en grande partie les mêmes diagnostics que ceux retenus par les experts COMAI ; ils n’ont toutefois pas indiqué quelle était leur répercussion sur la capacité de travail de l’assurée. Ils n’ont pas non plus déterminé sa capacité résiduelle de travail, se contentant d’indiquer qu’il y avait lieu de discuter d’une réadaptation professionnelle comme alternative à une rente AI et relevant que l’assurée souhaitait retrouver une activité</w:t>
      </w:r>
    </w:p>
    <w:p>
      <w:r>
        <w:t>A/2581/2008 - 12/17 - professionnelle à 50%. Quant au médecin traitant de l’assurée, la Dresse B__________, elle a posé de multiples diagnostics et a préconisé la reprise d’une activité lucrative à temps partiel adaptée à ses limitations fonctionnelles, sans toutefois, en préciser le taux et a préconisé la mise en place de mesures de réadaptation professionnelle. Le Tribunal de céans constate d’une part que le contenu de ces rapports rejoint en partie les constatations et les conclusions ressortant du rapport d’expertise COMAI et d’autre part, qu’ils ne sont pas suffisamment précis, principalement en ce qui concerne la capacité de travail de l’assurée. Ils ne sont par conséquent pas susceptibles de remettre en cause la pleine valeur probante du rapport d’expertise clair et complet établi par des spécialistes et qui convainc le Tribunal. Au demeurant, le Tribunal de céans considère que l’audition de la Dresse B__________ et des médecins des HUG ne constitue pas une mesure d’instruction nécessaire, attendu que le rapport d’expertise a porté sur toutes les atteintes tant somatiques que psychiques présentées par l’assurée et que ses conclusions sont dûment motivées.</w:t>
      </w:r>
    </w:p>
    <w:p>
      <w:r>
        <w:rPr>
          <w:b/>
        </w:rPr>
        <w:t>E. 9</w:t>
      </w:r>
    </w:p>
    <w:p>
      <w:r>
        <w:t>Reste à examiner si le syndrome douloureux somatoforme persistant est invalidant. Il y a d’abord lieu de déterminer si l’assurée présente une comorbidité psychiatrique importante de par sa gravité, son acuité et sa durée. Les experts ont retenu que l’assurée souffrait d’une dysthymie sans véritable trouble dépressif, et d’un trouble de la personnalité avec des traits passifs-agressifs et narcissiques manifestes ainsi que d’une labilité émotionnelle et d’un sentiment de détresse psychologique relativement important. Ils ont considéré que l’assurée présentait des limitations en lien avec le trouble de la personnalité avec une forte susceptibilité, une mauvaise image de soi et des comportements inadaptés à la situation lorsqu’elle est dévalorisée. A la lecture du rapport, on ne saurait en l’état conférer à ces affections ni la gravité, ni l’acuité importante requise au sens de la jurisprudence. Pour le surplus, on ne voit pas que l’assurée réunisse en sa personne plusieurs des autres critères consacrés par la jurisprudence lesquels sont susceptibles de fonder un pronostic défavorable quant à l’exigibilité, au plan psychique, d’une reprise de l’activité professionnelle. Même s’il devait être considéré que l’assurée présente des affections corporelles chroniques ou un processus maladif s’étendant sur plusieurs années sans rémission durable, il n’apparaît pas qu'elle subisse une perte d’intégration sociale en raison de sa maladie, attendu qu’elle a des amis et qu’elle les reçoit notamment chez elle pour les coiffer. En outre, on ne saurait admettre que l’assurée présente un état psychique cristallisé sans évolution possible sur le plan thérapeutique. En effet, les experts COMAI exposent qu’elle n’a jamais bénéficié d’un soutien thérapeutique et qu’une psychothérapie de soutien ainsi que la prise d’un traitement pharmacologique devraient être mis en place, mesures qui</w:t>
      </w:r>
    </w:p>
    <w:p>
      <w:r>
        <w:t>A/2581/2008 - 13/17 - permettront une évolution favorable de son état psychique. Enfin, les experts n’ont pas établi d’échec de traitements ambulatoires ou stationnaires conformes aux règles de l’art. Par conséquent, c’est à juste titre que l’OCAI a considéré que le syndrome somatofome douloureux persistant n’avait pas de caractère invalidant au sens de la jurisprudence et que l’assurée présentait une entière capacité de travail dans toute activité lucrative, comme retenu par les experts.</w:t>
      </w:r>
    </w:p>
    <w:p>
      <w:r>
        <w:rPr>
          <w:b/>
        </w:rPr>
        <w:t>E. 10</w:t>
      </w:r>
    </w:p>
    <w:p>
      <w:r>
        <w:t>Le degré d’invalidité de l’assurée devra ainsi être déterminé.</w:t>
      </w:r>
    </w:p>
    <w:p>
      <w:r>
        <w:rPr>
          <w:b/>
        </w:rPr>
        <w:t>E. 11</w:t>
      </w:r>
    </w:p>
    <w:p>
      <w:r>
        <w:t>Tant lors de l'examen initial du droit à la rente qu'à l'occasion d'une révision de celle-ci, il faut examiner quelle méthode d'évaluation de l'invalidité il convient d'appliquer. Le choix de l'une des trois méthodes considérées (méthode générale de comparaison des revenus, méthode mixte, méthode spécifique) dépendra du satut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117 V 194 consid. 3b et les références).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150 consid. 2c, 117 V 194 ss consid. 3b et les références citées; VSI 1997 p. 301 ss consid. 2b, 1996 p. 209 consid. 1c, et les références citées).</w:t>
      </w:r>
    </w:p>
    <w:p>
      <w:r>
        <w:rPr>
          <w:b/>
        </w:rPr>
        <w:t>E. 12</w:t>
      </w:r>
    </w:p>
    <w:p>
      <w:r>
        <w:t>En l’espèce, l’OCAI a déterminé son degré d’invalidité en se fondant sur un statut d’active.</w:t>
      </w:r>
    </w:p>
    <w:p>
      <w:r>
        <w:t>A/2581/2008 - 14/17 - D’après ses fiches de salaire des mois de septembre et d’octobre 2004 et le certificat de salaire 2004 établi par son dernier employeur (pièce 13 dossier OCAI), il apparaît que l’assurée a travaillé du mois de mai au mois d’octobre 2004 à un taux avoisinant 100%. De plus, ses avis de taxation 2002, 2003 et 2004 (pièce 13 dossier OCAI) et un courrier du 5 février 2007 de l’Office cantonal de l’emploi (OCE - pièce 22 dossier OCAI) démontrent que l’assurée a soit travaillé durant ces années-là à plein temps ou à temps partiel, soit perçu des indemnités chômage. Dans un questionnaire du 31 août 2006, l’assurée a cependant indiqué à l’OCAI qu’elle n’exercerait pas d’activité lucrative si elle était en bonne santé et qu’elle n’avait effectué aucune recherche d’emploi. Par ailleurs, il ressort des divers rapports médicaux au dossier et de la demande de prestations à l’OCAI, que l’assurée souhaitait ne reprendre une activité lucrative qu’à 50%. Enfin, un gestionnaire de l’OCAI s’était demandé, dans un rapport du 1er mars 2007, s’il y avait lieu de retenir un statut mixte dans le cas de l’assurée. Le Tribunal de céans constate que l’assurée vit seule avec ses trois enfants nés respectivement en novembre 1988 et en août 1993. Lors de la décision de l’OCAI, l’assurée était âgée de 46 ans et ses enfants étaient dans leur dix-neuvième et quatorzième année. Elle ne perçoit de son mari, dont elle est séparée depuis 1997, qu’une pension de 500 fr. par mois. Ces circonstances permettent de conclure au degré de vraisemblance prépondérante requis par la jurisprudence, que si elle était en bonne santé, l’assurée aurait été contrainte d’exercer une activité lucrative pour des raisons financières tant pour entretenir son ménage que pour subvenir à l’entretien de ses enfants. Il semblerait du reste que c’est très vraisemblablement pour des raisons liées à son état de santé ou par convenance personnelle qu’elle aurait souhaité dans l’idéal ne pas reprendre une activité lucrative à un taux d’activité de 100%, mais seulement à 50%. Par conséquent, le statut d’active peut lui être confirmé.</w:t>
      </w:r>
    </w:p>
    <w:p>
      <w:r>
        <w:rPr>
          <w:b/>
        </w:rPr>
        <w:t>E. 13</w:t>
      </w:r>
    </w:p>
    <w:p>
      <w:r>
        <w:t>Dans le cas où un assuré présente une entière capacité de travail dans toute activité lucrative, les revenus avant et après invalidité sont calculés sur la même base. Il est dès lors superflu de les chiffrer avec exactitude, le degré d’invalidité se confondant avec celui de l’incapacité de travail (ATF I 43/05). Toutefois, il doit encore être tenu compte, dans le cas d’espèce, de la diminution de rendement de 30% retenue par les experts COMAI pendant une année, soit jusqu'au mois d’avril 2009 au plus tard. Par conséquent, le degré d’invalidité de l’assurée est de 30% jusqu’au mois d’avril 2009, puis de 0%. Force est dès lors de constater qu’un degré d’invalidité, même de 30%, n’ouvre pas droit à une rente d’invalidité, de sorte que la décision de l’OCAI sera confirmée sur ce point.</w:t>
      </w:r>
    </w:p>
    <w:p>
      <w:r>
        <w:t>A/2581/2008 - 15/17 - Il y a lieu de remarquer que, même si l’OCAI avait retenu un statut mixte et compte tenu de l’obligation de diminuer le dommage (cf. ATF 123 V 233 consid. 3c et les références), le degré d’invalidité qui ressortirait d’une éventuelle enquête ménagère avoisinerait vraisemblablement 0%, attendu que l’assurée a déclaré, lors de l’expertise COMAI, qu’elle effectuait elle-même quasiment toutes les tâches ménagères, hormis le repassage ou la comptabilité du ménage, sa fille s’en occupant.</w:t>
      </w:r>
    </w:p>
    <w:p>
      <w:r>
        <w:rPr>
          <w:b/>
        </w:rPr>
        <w:t>E. 14</w:t>
      </w:r>
    </w:p>
    <w:p>
      <w:r>
        <w:t>Reste encore à déterminer si l’assurée peut être mise au bénéfice d’une mesure d’ordre professionnel, soit plus spécifiquement d’une mesure de reclassement dans une nouvelle profession.</w:t>
      </w:r>
    </w:p>
    <w:p>
      <w:r>
        <w:rPr>
          <w:b/>
        </w:rPr>
        <w:t>E. 15</w:t>
      </w:r>
    </w:p>
    <w:p>
      <w:r>
        <w:t>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Selon l’art. 17 LAI, l’assuré a droit au reclassement dans une nouvelle profession si son invalidité rend cette mesure nécessaire et que sa capacité de gain peut ainsi, selon toute vraisemblance, être maintenue ou améliorée (al. 1er).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w:t>
      </w:r>
    </w:p>
    <w:p>
      <w:r>
        <w:rPr>
          <w:b/>
        </w:rPr>
        <w:t>E. 16</w:t>
      </w:r>
    </w:p>
    <w:p>
      <w:r>
        <w:t>Il va de soi qu’on ne saurait envisager dans le cas d'espèce une mesure de reclassement dans une nouvelle profession, attendu qu’il a précédemment été établi que rien n’empêcherait l’assurée de travailler dans son ancienne profession. Par ailleurs le degré d'invalidité de 30% reconnu jusqu'à avril 2009 ne peut justifier la mise en œuvre d'aucune mesure non plus, en raison de la courte période concernée.</w:t>
      </w:r>
    </w:p>
    <w:p>
      <w:r>
        <w:t>A/2581/2008 - 16/17 -</w:t>
      </w:r>
    </w:p>
    <w:p>
      <w:r>
        <w:rPr>
          <w:b/>
        </w:rPr>
        <w:t>E. 17</w:t>
      </w:r>
    </w:p>
    <w:p>
      <w:r>
        <w:t>Par conséquent, la décision de l’OCAI sera entièrement confirmée et le recours rejeté.</w:t>
      </w:r>
    </w:p>
    <w:p>
      <w:r>
        <w:t>A/2581/2008 - 17/17 -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