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ATAS/451/2016 vom 8. Juni 2016</w:t>
      </w:r>
    </w:p>
    <w:p>
      <w:r>
        <w:t>GE Cour de justice, 2016-06-08, FR</w:t>
      </w:r>
    </w:p>
    <w:p>
      <w:r>
        <w:rPr>
          <w:b/>
        </w:rPr>
        <w:t xml:space="preserve">Quelle: </w:t>
      </w:r>
      <w:r>
        <w:t>https://mcp.opencaselaw.ch/entscheid/ge_gerichte_ATAS_451_2016</w:t>
      </w:r>
    </w:p>
    <w:p>
      <w:r>
        <w:t>FR: GE_GERICHTE ATAS/451/2016 du 8 juin 2016</w:t>
      </w:r>
    </w:p>
    <w:p>
      <w:r>
        <w:t>IT: GE_GERICHTE ATAS/451/2016 del 8 giugno 2016</w:t>
      </w:r>
    </w:p>
    <w:p>
      <w:pPr>
        <w:pStyle w:val="Heading2"/>
      </w:pPr>
      <w:r>
        <w:t>Erwägungen</w:t>
      </w:r>
    </w:p>
    <w:p>
      <w:r>
        <w:rPr>
          <w:b/>
        </w:rPr>
        <w:t>E. 12</w:t>
      </w:r>
    </w:p>
    <w:p>
      <w:r>
        <w:t>kg.</w:t>
      </w:r>
    </w:p>
    <w:p>
      <w:r>
        <w:rPr>
          <w:b/>
        </w:rPr>
        <w:t>E. 14</w:t>
      </w:r>
    </w:p>
    <w:p>
      <w:r>
        <w:t>Reste à vérifier le calcul du degré d’invalidité. S’agissant du revenu sans invalidité, l’intimé considère à juste titre, notamment sur la base de l’inscription au chômage à 100% le 20 janvier 2015, que le recourant doit se voir reconnaître un statut d’actif et qu’il aurait gagné CHF 56'000.- en 2013, soit le double du salaire obtenu la même année de la part de C______ SA, dernier employeur en date, s’il avait trouvé un emploi à plein temps. Étant donné que le droit à une éventuelle rente n’aurait pu naître que six mois après le dépôt de la demande AI (art. 29 al. 1 et 3 LAI) et qu’en l’espèce, cette demande a été déposée en décembre 2014, il y a lieu d’adapter le dernier revenu (CHF 56'000.-) selon l’indice suisse des salaires nominaux pour les hommes (ISS : 2’204 en 2013 et 2’226 en 2015), de sorte que ce revenu se serait élevé à CHF 56’559.- en 2015 (56’000.- x 2’226 / 2’204). Concernant le salaire avec invalidité, c’est de façon correcte que l’intimé s’est référé aux ESS puisque le recourant n’avait pas repris d’activité lucrative à la date de la décision entreprise. Compte tenu de l’activité de substitution raisonnablement exigible de la part du recourant dans un emploi adapté à son état de santé, le salaire de référence est bien celui auquel peuvent prétendre les hommes effectuant des activités simples et répétitives (niveau de qualification 1) dans le secteur privé, à savoir CHF 62’520.- (CHF 5’210.- x 12 ; ESS 2012, TA1).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d’une durée hebdomadaire inférieure à la moyenne usuelle dans les entreprises en 2015 (41.7 heures ; Office fédéral de la statistique – statistique de la durée normale du travail dans les entreprises, DNT), ce montant doit être porté à CHF 65’177.- (62’520 x 41.7 : 40) puis à CHF 66’309.-, une fois indexé à 2015 selon l’évolution des salaires en termes nominaux (ISS en 2012 : 2’188 et en 2015 : 2’226 ; soit 65’177 x 2’226 /2'188).</w:t>
      </w:r>
    </w:p>
    <w:p>
      <w:r>
        <w:t>A/3650/2015 - 18/22 - L’intimé a admis un abattement de 10% sur le salaire statistique pour tenir compte des limitations fonctionnelles du recourant et du fait que seule une activité légère est possible. Aussi l’abattement retenu ne prête-t-il pas le flanc à la critique. Ainsi, le revenu annuel brut avec invalidité, compte tenu d’un abattement de 10%, peut être fixé à CHF 59’678.-. Il s’ensuit que la perte de gain du recourant est nulle (56'559 - 59’678) et que son taux d’invalidité ne l’est pas moins.</w:t>
      </w:r>
    </w:p>
    <w:p>
      <w:r>
        <w:rPr>
          <w:b/>
        </w:rPr>
        <w:t>E. 15</w:t>
      </w:r>
    </w:p>
    <w:p>
      <w:r>
        <w:t>Reste à examiner si le recourant peut prétendre à une mesure d’ordre professionnel.</w:t>
      </w:r>
    </w:p>
    <w:p>
      <w:r>
        <w:t>a/aa.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 invalidité peut octroyer des contributions correspondant au droit à des prestations</w:t>
      </w:r>
    </w:p>
    <w:p>
      <w:r>
        <w:t>A/3650/2015 - 19/22 - pour une mesure de reclassement équivalente (substitution de la prestation ; VSI 2002 p. 109 consid. 2b et les références). a/bb.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a/cc. Aux termes de l'art. 18 al. 1 LAI (nouvelle teneur selon la novelle du 6 octobre 2006 [5ème révision de l'AI],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4ème révision de la LAI (cf. ATF 116 V 80 consid. 6; arrêt du Tribunal fédéral des assurances I 421/01 du 15 juillet 2002 consid. 2c, comparés aux arrêts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 I 510/04 du 19 août 2005, consid. 3.1). Il n'y a en revanche pas d'invalidité au sens de</w:t>
      </w:r>
    </w:p>
    <w:p>
      <w:r>
        <w:t>A/3650/2015 - 20/22 -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des assurances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Il y a cependant lieu de rappeler que la 4ème révision de l'AI, entrée en vigueur le 1er janvier 2004, a étendu les droits des assurés à l'égard des offices AI en matière d'aide au placement (arrêt du Tribunal fédéral des assurances I 54/05 du 22 septembre 2004 consid. 6.2). La modification de l'art.</w:t>
      </w:r>
    </w:p>
    <w:p>
      <w:r>
        <w:rPr>
          <w:b/>
        </w:rPr>
        <w:t>E. 18</w:t>
      </w:r>
    </w:p>
    <w:p>
      <w:r>
        <w:t>al. 1 LAI lors de la 5ème révision de la loi a également eu pour but d'élargir le droit au placement (Message du 22 juin 2005 concernant la modification de la loi fédérale sur l'assurance-invalidité [5ème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5ème révision de l'AI (arrêt du Tribunal fédéral 9C_416/2009 du 1er mars 2010 consid. 5.2). b. Étant donné qu’en l’espèce, la capacité de travail résiduelle du recourant est entière dans une activité adaptée à ses limitations fonctionnelles et qu’une telle activité lui offre une possibilité de gain au moins équivalente, sinon supérieure à celle que lui offrait son ancienne activité de nettoyeur, l’octroi d’une telle mesure doit être refusé. Il en va de même d’une mesure d’orientation professionnelle. En effet, il ne ressort pas des pièces versées au dossier que le recourant rencontrerait de réelles difficultés pour retrouver une activité lucrative adaptée à ses limitations. Le Tribunal fédéral a par ailleurs considéré en présence de limitations similaires (mesures d’épargne rachidiennes et absence de port de charges) que lorsque le marché du travail offre un éventail suffisamment large d’activités légères, dont un nombre significatif sont adaptées à l’état de santé de l’assuré et accessibles sans formation particulière, ce qui a été admis par la Haute Cour dans le cas précis, il n’existe guère d’obstacle à l’exercice d’un emploi adapté, de sorte que l’octroi d’une mesure d’orientation professionnelle apparaît superflu (arrêt du Tribunal fédéral 9C_534/2010 du 10 février 2011, consid. 4.3). On rappellera enfin que le</w:t>
      </w:r>
    </w:p>
    <w:p>
      <w:r>
        <w:t>A/3650/2015 - 21/22 - « marché du travail » auquel cette jurisprudence se réfère correspond à la notion de marché du travail équilibré au sens de l’art. 7 LPGA et que cette disposition a précisément pour but délimiter les prestations de l’assurance-invalidité de celles de l’assurance-chômage (cf. ci-dessus : consid. 9b). Ainsi, ce n’est pas parce que le recourant était toujours sans emploi à la date de la décision querellée ou que l’OCE l’a considéré passagèrement inapte au placement qu’il en résulte ipso facto un droit à une mesure d’orientation professionnelle. c. Une aide au placement doit également être déniée au recourant. En effet, celui-ci dispose d’une capacité de travail de 100% dans une activité adaptée. En outre, à l’examen des pièces du dossier, le recourant n’a pas rendu vraisemblable (art. 18 al. 2 LAI) que ce sont des limitations liées à son état de santé (au sens précisé ci- dessus : consid. 15a/cc) – et non des facteurs dont l’assurance-invalidité n’a pas à répondre, comme le manque de formation par ex. – qui l’entraveraient dans ses démarches pour retrouver un emploi. 16. Au vu de ce qui précède, le recours sera rejeté. La procédure n’étant pas gratuite (art. 69 al. 1bis LAI), il y a lieu de condamner le recourant au paiement d’un émolument de CHF 200.-.</w:t>
      </w:r>
    </w:p>
    <w:p>
      <w:r>
        <w:t>***</w:t>
      </w:r>
    </w:p>
    <w:p>
      <w:r>
        <w:t>A/3650/2015 - 22/22 -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