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ATAS/451/2010 vom 11. September 2009</w:t>
      </w:r>
    </w:p>
    <w:p>
      <w:r>
        <w:t>GE Cour de justice, 2009-09-11, FR</w:t>
      </w:r>
    </w:p>
    <w:p>
      <w:r>
        <w:rPr>
          <w:b/>
        </w:rPr>
        <w:t xml:space="preserve">Quelle: </w:t>
      </w:r>
      <w:r>
        <w:t>https://mcp.opencaselaw.ch/entscheid/ge_gerichte_ATAS_451_2010</w:t>
      </w:r>
    </w:p>
    <w:p>
      <w:r>
        <w:t>FR: GE_GERICHTE ATAS/451/2010 du 11 septembre 2009</w:t>
      </w:r>
    </w:p>
    <w:p>
      <w:r>
        <w:t>IT: GE_GERICHTE ATAS/451/2010 del 11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A/3965/2009 - 4/5 -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recourant a droit à un appareil auditif à la charge de l'assurance-invalidité, plus particulièrement si la diminution de l'audition est consécutive à un accident ou à une maladie.</w:t>
      </w:r>
    </w:p>
    <w:p>
      <w:r>
        <w:rPr>
          <w:b/>
        </w:rPr>
        <w:t>E. 4</w:t>
      </w:r>
    </w:p>
    <w:p>
      <w:r>
        <w:t>En premier lieu, le recourant reproche à l'intimé une violation du droit d'être entendu. Cette question peut toutefois rester ouverte au vu de ce qui suit. Il appert en effet que la cause est incomplètement instruite, dès lors qu'il n'est pas établi à satisfaction de droit si les problèmes auditifs sont consécutifs à un accident ou à une maladie. Cela est également admis par l'intimé. Or, l’autorité administrative doit constater d’office les faits déterminants, c’est-à- dire toutes les circonstances dont dépend l’application des règles de droit (ATF 117 V 261 consid. 3 p. 263 ; T. LOCHER Grundriss des Sozialversicherungsrecht, Bern 1994, t.1, p. 438). Ainsi, l’administration est tenue d’ordonner une instruction complémentaire lorsque les allégations des parties et les éléments ressortant du dossier requièrent une telle mesure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En l'espèce, les parties sont certes d'accord que le Tribunal de céans procède à une instruction complémentaire. Toutefois, dès lors qu'une violation du droit d'être entendu est également alléguée, le Tribunal de céans estime préférable de renvoyer la cause à l'intimé.</w:t>
      </w:r>
    </w:p>
    <w:p>
      <w:r>
        <w:rPr>
          <w:b/>
        </w:rPr>
        <w:t>E. 5</w:t>
      </w:r>
    </w:p>
    <w:p>
      <w:r>
        <w:t>Le recours sera ainsi partiellement admis, la décision dont est recours annulée et la cause renvoyée à l'intimé pour instruction complémentaire.</w:t>
      </w:r>
    </w:p>
    <w:p>
      <w:r>
        <w:rPr>
          <w:b/>
        </w:rPr>
        <w:t>E. 6</w:t>
      </w:r>
    </w:p>
    <w:p>
      <w:r>
        <w:t>Dans la mesure où l'intimé succombe, l'émolument de justice de 200 fr. est mis à sa charge.</w:t>
      </w:r>
    </w:p>
    <w:p>
      <w:r>
        <w:rPr>
          <w:b/>
        </w:rPr>
        <w:t>E. 7</w:t>
      </w:r>
    </w:p>
    <w:p>
      <w:r>
        <w:t>Le recourant obtenant partiellement gain de cause, une indemnité de 500 fr. lui est accordée à titre de dépens.</w:t>
      </w:r>
    </w:p>
    <w:p>
      <w:r>
        <w:t>A/3965/2009 - 5/5 -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