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ATAS/451/2009 vom 21. April 2009</w:t>
      </w:r>
    </w:p>
    <w:p>
      <w:r>
        <w:t>GE Cour de justice, 2009-04-21, FR</w:t>
      </w:r>
    </w:p>
    <w:p>
      <w:r>
        <w:rPr>
          <w:b/>
        </w:rPr>
        <w:t xml:space="preserve">Quelle: </w:t>
      </w:r>
      <w:r>
        <w:t>https://mcp.opencaselaw.ch/entscheid/ge_gerichte_ATAS_451_2009</w:t>
      </w:r>
    </w:p>
    <w:p>
      <w:r>
        <w:t>FR: GE_GERICHTE ATAS/451/2009 du 21 avril 2009</w:t>
      </w:r>
    </w:p>
    <w:p>
      <w:r>
        <w:t>IT: GE_GERICHTE ATAS/451/2009 del 21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 à la prise en charge de mesures de réadaptation ou à l'octroi d'une rente au-delà du 31 juillet 2008.</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w:t>
      </w:r>
    </w:p>
    <w:p>
      <w:r>
        <w:t>A/68/2009 - 8/15 -</w:t>
      </w:r>
    </w:p>
    <w:p>
      <w:r>
        <w:rPr>
          <w:b/>
        </w:rPr>
        <w:t>E. 6</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S'agissant enfin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w:t>
      </w:r>
    </w:p>
    <w:p>
      <w:r>
        <w:t>A/68/2009 - 9/15 -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w:t>
      </w:r>
    </w:p>
    <w:p>
      <w:r>
        <w:rPr>
          <w:b/>
        </w:rPr>
        <w:t>E. 7</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w:t>
      </w:r>
    </w:p>
    <w:p>
      <w:r>
        <w:t>A/68/2009 - 10/15 -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En vertu de l'art. 88a al. 1 du règlement sur l'assurance-invalidité du 17 janvier 1961 (RAI), si la capacité de gain ou la capacité d'accomplir les travaux habituels d'un assuré s'améliore ou que son impotence s'atténue, il y a lieu de considérer que ce changement supprime, le cas échéant, toute ou partie de son droit aux prestations dès qu'on peut s'attendre à ce que l'amélioration se maintienne durant une assez longue période. Il en va de même lorsqu'un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t>A/68/2009 - 11/15 -</w:t>
      </w:r>
    </w:p>
    <w:p>
      <w:r>
        <w:rPr>
          <w:b/>
        </w:rPr>
        <w:t>E. 9</w:t>
      </w:r>
    </w:p>
    <w:p>
      <w:r>
        <w:t>Il n'est pas contesté en l'espèce que l'assuré ne peut plus exercer son activité antérieure. L'OCAI a en revanche considéré qu'il pouvait travailler à plein temps dans un emploi adapté à ses limitations fonctionnelles à compter du 1er mai 2008 et a déterminé son degré d'invalidité sur cette base, soit 10%. Ce taux n'étant pas suffisant pour justifier le droit à une rente d'invalidité, il a limité au 31 juillet 2008 l'octroi de la rente, soit trois mois après, conformément à l'art. 88a RAI. L'OCAI s'est fondé sur les conclusions de la Dresse D_________, selon lesquelles la capacité de travail exigible sur le plan ostéo-articulaire est de 100% dans une activité adaptée aux limitations fonctionnelles décrites dans son rapport. Il a par ailleurs pris en considération l'aggravation de l'état de santé due à l'accident survenu le 24 août 2007 et à la suite duquel l'assuré s'est trouvé en incapacité totale de travailler jusqu'au 7 avril 2008, date à laquelle le Dr F_________ avait constaté que son état s'était amélioré et que l'évolution était favorable (rapport du 8 mai 2008). Il avait en effet estimé qu'à ce moment, ses conclusions du 24 juillet 2007 étaient à nouveau valables. Le Tribunal de céans constate que l'examen rhumatologique réalisé par la Dresse D_________ remplit tous les réquisits de la jurisprudence permettant de lui attribuer pleine valeur probante. Le médecin a expliqué en quoi consistaient les atteintes à la santé de l'assurée, ses conclusions sont claires et bien motivées, de sorte que le Tribunal n'a a priori aucune raison de s'en écarter. Les constatations du Dr F_________ ne contredisent en réalité pas les conclusions de la Dresse D_________ et ne sauraient dès lors les remettre en cause. Il s'agit ainsi de retenir une capacité de travail, sur le plan ostéo-articulaire, de 100% dans une activité adaptée, dès le 1er mai 2008.</w:t>
      </w:r>
    </w:p>
    <w:p>
      <w:r>
        <w:rPr>
          <w:b/>
        </w:rPr>
        <w:t>E. 10</w:t>
      </w:r>
    </w:p>
    <w:p>
      <w:r>
        <w:t>L'assurée a expressément sollicité du Tribunal de céans qu'il ordonne une expertise. Il y a toutefois lieu de considérer que les pièces médicales versées au dossier permettent de statuer en pleine connaissance de cause sur le présent litige, si bien que la mise en œuvre d'expertises s'avère superflue par appréciation anticipée des preuves.</w:t>
      </w:r>
    </w:p>
    <w:p>
      <w:r>
        <w:rPr>
          <w:b/>
        </w:rPr>
        <w:t>E. 11</w:t>
      </w:r>
    </w:p>
    <w:p>
      <w:r>
        <w:t>S'agissant de l'aspect psychiatrique, il y a lieu de rappeler qu'à teneur de la jurisprudence constante concernant les dépendances comme l'alcoolisme, la pharmacodépendance et la toxicomanie, une telle dépendance ne constitue pas en soi une invalidité au sens de la loi. En revanche, elle joue un rôle dans l'assurance- invalidité lorsqu'elle a provoqué une maladie ou un accident qui entraîne une atteinte à la santé physique ou mentale, nuisant à la capacité de gain, ou si elle résulte elle-même d'une atteinte à la santé physique ou mentale qui a valeur de maladie (ATFA non publié du 9 décembre 2003 en la cause I 563/02 ; VSI 1996 pp. 317, 320 et 323; RCC 1992 p. 182 consid. 2b et les références).</w:t>
      </w:r>
    </w:p>
    <w:p>
      <w:r>
        <w:t>A/68/2009 - 12/15 - L'OCAI n'a retenu aucune atteinte psychiatrique, considérant, sur la base de la note du Dr C_________ du 20 février 2007, que la toxicomanie était primaire. La Dresse A_________ a, dans son rapport du 15 décembre 2005, indiqué que la toxicomanie était la conséquence du trouble de la personnalité émotionnellement labile existant depuis l'adolescence. Force est toutefois de constater qu'un tel trouble ne suffit pas, à lui seul, pour constituer une atteinte invalidante. La présence de ce trouble n'a du reste pas empêché l'assuré de suivre une formation et de travailler. La toxicomanie n'a par ailleurs pas, selon la Dresse A_________, provoqué d'atteinte à la santé. La toxicomanie ne peut dès lors être prise en considération au regard de l'AI. C'est, partant, à juste titre que l'OCAI n'a retenu aucune atteinte d'ordre psychiatrique.</w:t>
      </w:r>
    </w:p>
    <w:p>
      <w:r>
        <w:rPr>
          <w:b/>
        </w:rPr>
        <w:t>E. 12</w:t>
      </w:r>
    </w:p>
    <w:p>
      <w:r>
        <w:t>Le Tribunal de céans observe que la Dresse A_________ a par ailleurs fait état en décembre 2005 de troubles dépressifs récurrents, épisode actuel sévère. Entendue le 24 mars 2009, elle a cependant précisé que cette symptomatologie persistait, mais de manière très fluctuante, et qu'elle était liée à la symptomatologie somatique. Elle a également expliqué qu'une psychothérapie pourrait apporter une sensible amélioration de l'état de santé, mais que malheureusement la consommation de produits empêchait toute démarche de ce type. S'agissant du diagnostic de dépression, il est utile d'objectiver s'il s'agit d'un épisode dépressif transitoire ou d'un trouble affectif grave durable pour une évaluation de la capacité de travail. Des indications sur le pronostic avec un traitement approprié sont indispensables (cf. chiffre 1015 de la Circulaire concernant l'invalidité et l'impotence de l'assurance-invalidité). En l'espèce, le médecin traitant a confirmé que l'état dépressif était lié aux douleurs et pourrait être amélioré si l'assuré devenait abstinent. Force est ainsi de constater que l'état dépressif dont souffre l'assuré ne saurait être invalidant au sens de la LAI.</w:t>
      </w:r>
    </w:p>
    <w:p>
      <w:r>
        <w:rPr>
          <w:b/>
        </w:rPr>
        <w:t>E. 13</w:t>
      </w:r>
    </w:p>
    <w:p>
      <w:r>
        <w:t>Reste à déterminer le degré d'invalidité.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Force est à cet égard de constater que le calcul auquel a procédé l'OCAI n'est pas critiquable, étant précisé qu'il a pris en considération une réduction supplémentaire de 10%. Le degré d'invalidité de 10% doit dès lors être retenu. Or ce taux est</w:t>
      </w:r>
    </w:p>
    <w:p>
      <w:r>
        <w:t>A/68/2009 - 13/15 - insuffisant pour justifier le droit à une rente d'invalidité. La décision de l'OCAI niant le droit de l'assuré à une rente d'invalidité ne peut ainsi être que confirmée.</w:t>
      </w:r>
    </w:p>
    <w:p>
      <w:r>
        <w:rPr>
          <w:b/>
        </w:rPr>
        <w:t>E. 14</w:t>
      </w:r>
    </w:p>
    <w:p>
      <w:r>
        <w:t>Il y a encore lieu d'examiner si une mesure de réadaptation pourrait être mise en œuvre.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w:t>
      </w:r>
    </w:p>
    <w:p>
      <w:r>
        <w:t>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w:t>
      </w:r>
    </w:p>
    <w:p>
      <w:r>
        <w:t>Le Tribunal de céans constate qu'au vu du degré d'invalidité retenu, inférieur à 20%, l'assuré ne saurait prétendre à de telles mesures.</w:t>
      </w:r>
    </w:p>
    <w:p>
      <w:r>
        <w:rPr>
          <w:b/>
        </w:rPr>
        <w:t>E. 15</w:t>
      </w:r>
    </w:p>
    <w:p>
      <w:r>
        <w:t>Une prestation de type aide au placement pourrait en revanche être adéquate dans le présent cas. Une telle mesure est prévue par l’art. 18 LAI et comprend en effet un soutien actif dans la recherche d’un emploi approprié (al. 1 let. a). Elle fait également partie des mesures de réadaptation (art. 8 LAI) et présuppose qu’elle soit appropriée au but de réadaptation poursuivi par l’AI, et cela tant objectivement en ce qui concerne la mesure que subjectivement en rapport avec la personne de l’assuré (VSI 2002 111ss et les références).</w:t>
      </w:r>
    </w:p>
    <w:p>
      <w:r>
        <w:t>A/68/2009 - 14/15 - Eu égard à ce qui précède, elle ne sera pas ordonnée, l'assuré demeurant toutefois libre de faire valoir son droit lorsqu’il fera preuve d’intérêt pour cette prestation.</w:t>
      </w:r>
    </w:p>
    <w:p>
      <w:r>
        <w:t>A/68/2009 - 15/15 -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