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ATAS/451/2008 vom 11. April 2008</w:t>
      </w:r>
    </w:p>
    <w:p>
      <w:r>
        <w:t>GE Cour de justice, 2008-04-11, FR</w:t>
      </w:r>
    </w:p>
    <w:p>
      <w:r>
        <w:rPr>
          <w:b/>
        </w:rPr>
        <w:t xml:space="preserve">Quelle: </w:t>
      </w:r>
      <w:r>
        <w:t>https://mcp.opencaselaw.ch/entscheid/ge_gerichte_ATAS_451_2008</w:t>
      </w:r>
    </w:p>
    <w:p>
      <w:r>
        <w:t>FR: GE_GERICHTE ATAS/451/2008 du 11 avril 2008</w:t>
      </w:r>
    </w:p>
    <w:p>
      <w:r>
        <w:t>IT: GE_GERICHTE ATAS/451/2008 del 11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w:t>
      </w:r>
    </w:p>
    <w:p>
      <w:r>
        <w:rPr>
          <w:b/>
        </w:rPr>
        <w:t>E. 3</w:t>
      </w:r>
    </w:p>
    <w:p>
      <w:r>
        <w:t>Interjeté dans la forme et le délai prévus par la loi, le recours est recevable, en vertu des art. 56 et ss LPGA.</w:t>
      </w:r>
    </w:p>
    <w:p>
      <w:r>
        <w:rPr>
          <w:b/>
        </w:rPr>
        <w:t>E. 4</w:t>
      </w:r>
    </w:p>
    <w:p>
      <w:r>
        <w:t>Le litige consiste à déterminer si les atteintes à la santé que présente la recourante entraînent une incapacité de travail pouvant ouvrir droit, le cas échéant, à une rente de l'assurance-invalidité.</w:t>
      </w:r>
    </w:p>
    <w:p>
      <w:r>
        <w:rPr>
          <w:b/>
        </w:rPr>
        <w:t>E. 5</w:t>
      </w:r>
    </w:p>
    <w:p>
      <w:r>
        <w:t>En premier lieu, la recourante a fait grief à l'intimé de n'avoir pu se prononcer sur les questions posées aux experts.</w:t>
      </w:r>
    </w:p>
    <w:p>
      <w:r>
        <w:t>A/2700/2006 - 9/18 - Sur ce point, il y a lieu de se référer, ainsi que l'a fait remarquer l'intimé, à l'art. 44 LPGA. Ce dernier prévoit que si l'assureur doit recourir aux services d'un expert indépendant pour élucider les faits, il doit donner connaissance du nom de cet expert aux parties, qui peuvent le récuser pour des raisons pertinentes et présenter des contre-propositions. Cette disposition n'impose en revanche pas à l'OCAI de soumettre à l'assuré la liste des questions qu'il entend poser à l'expert. Ce premier grief de la recourante peut donc être écarté. Reste à examiner si c'est à juste titre que l'intimé lui a nié le droit à une rente d'invalidité.</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7</w:t>
      </w:r>
    </w:p>
    <w:p>
      <w:r>
        <w:t>Il convient de rappeler que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w:t>
      </w:r>
    </w:p>
    <w:p>
      <w:r>
        <w:t>A/2700/2006 - 10/18 -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8</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A/2700/2006 - 11/18 -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w:t>
      </w:r>
    </w:p>
    <w:p>
      <w:r>
        <w:rPr>
          <w:b/>
        </w:rPr>
        <w:t>E. 9</w:t>
      </w:r>
    </w:p>
    <w:p>
      <w:r>
        <w:t>Parmi les atteintes à la santé psychique, qui peuvent, comme les atteintes physiques, provoquer une invalidité, on doit mentionner – à part les maladies mentales proprement dites – les anomalies psychiques qui équivalent à des maladies. On ne considère pas comme des conséquences d’un état psychique maladif, donc pas comme des affections à prendre en charge pas l’assurance- 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w:t>
      </w:r>
    </w:p>
    <w:p>
      <w:r>
        <w:rPr>
          <w:b/>
        </w:rPr>
        <w:t>E. 10</w:t>
      </w:r>
    </w:p>
    <w:p>
      <w:r>
        <w:t>S'agissant plus particulièrement des troubles somatoformes douloureux, la jurisprudence admet qu'ils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La fibromyalgie peut être assimilée à un trouble somatoforme, plus particulièrement au syndrome douloureux somatoforme persistant (ATFA I 123/04</w:t>
      </w:r>
    </w:p>
    <w:p>
      <w:r>
        <w:t>A/2700/2006 - 12/18 - du 6 juillet 2004 consid. 4.2.1 et I 721/02 du 10 mars 2003; cf. P. A. BUCHARD, «Peut-on encore poser le diagnostic de fibromyalgie?», in: Revue médicale de la Suisse romande 2001, p. 443ss, spéc. p. 446; cf. aussi MEYER-BLASER, Der Rechtsbegriff der Arbeitsunfähigkeit und seine Bedeutung in der Sozialversicherung, namentlich für den Einkommensvergleich in der Invaliditätsbemessung, in : Schaffhauser/Schlauri [éd.], Schmerz und Arbeitsunfähigkeit, St-Gall 2003, p. 64 n. 93). Un rapport d'expertise attestant la présence d'une atteinte psychique ayant valeur de maladie - tels des troubles somatoformes douloureux - est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selon la jurisprudence, les troubles somatoformes douloureux persistants n'entraînent pas, en règle générale, une limitation de longue durée de la capacité de travail pouvant conduire à une invalidité au sens de l'art. 4 al. 1 LAI (voir sur ce point MEYER- 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 102 V 165; VSI 2001 p. 224 s. consid. 2b et les références; ATFA I 683/03 précité, consid. 2.2.3 et les arrêts cités; voir également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distinctes ou d'un autre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w:t>
      </w:r>
    </w:p>
    <w:p>
      <w:r>
        <w:t>A/2700/2006 - 13/18 - troubles somatoformes douloureux (VSI 2000 p. 155 consid. 2c; ATFA I 683/03 précité, consid. 2.2.3 in fine; MEYER-BLASER, op. cit. p. 76 ss, spéc. 80 ss).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w:t>
      </w:r>
    </w:p>
    <w:p>
      <w:r>
        <w:rPr>
          <w:b/>
        </w:rPr>
        <w:t>E. 11</w:t>
      </w:r>
    </w:p>
    <w:p>
      <w:r>
        <w:t>En l'espèce, l'intimé a considéré que les critères permettant d'admettre le caractère invalidant de la fibromyalgie dont souffre l'assurée n'étaient pas remplis et que l'intéressée pourrait, malgré ses autres atteintes à la santé, exercer à plein temps une activité adaptée à son état. A cet égard, l'intimé s'est basé sur l'examen bidisciplinaire pratiqué le 21 février 2005 par le SMR. La recourante conteste le rapport établi par ce dernier, alléguant notamment qu'il aurait été sommaire. Il apparaît au contraire que les deux examens auxquels a procédé le SMR ont été établis sur la base d'une anamnèse détaillée, que les constatations cliniques et les plaintes de la recourante sont documentées et que les conclusions auxquelles les médecins arrivent sont claires et motivées, de sorte qu'il convient de s'y référer. Les médecins du SMR ont posé les diagnostics principaux de lombalgies chroniques persistantes dans le cadre de troubles statiques et dégénératifs (discopathie L4-L5 et renversement postérieur du tronc), syndrome rotulien bilatéral et troubles statiques plantaires. Ils ont également mentionnés, tout en précisant qu'ils étaient sans répercussion sur la capacité de travail : une obésité (BMI 40), une fibromyalgie, un trouble de l'adaptation avec réaction dépressive prolongée, une personnalité dépendante et des difficultés liées à l'acculturation.</w:t>
      </w:r>
    </w:p>
    <w:p>
      <w:r>
        <w:t>A/2700/2006 - 14/18 - Ils ont écarté le diagnostic de trouble dépressif de façon convaincante. Aussi doit- on considérer en l’espèce que l’existence d’une comorbidité psychiatrique au trouble douloureux n’est pas avérée. Il convient d'ailleurs de relever que le Dr L_________ ne parle pas à proprement parler de dépression mais de "syndrome dépressif d'accompagnement". La recourante n'a d'ailleurs été suivie qu'une année par le Dr N_________, lequel n'a diagnostiqué qu'un épisode dépressif moyen. Étant rappelé que la jurisprudence exige la présence manifeste d'une comorbidité psychiatrique d'une acuité et d'une durée importantes et que, lorsqu'un trouble dépressif accompagne un trouble somatoforme douloureux et qu'il apparaît comme une réaction à celui-ci, il ne constitue pas une affection autonome, distincte du syndrome douloureux psychogène, au sens d'une comorbidité psychiatrique manifeste d'une acuité et d'une durée importantes (ATF 130 V 358 consid. 3.3.1 et la référence à Meyer-Blaser, op. cit., p. 81 et la note 135), il faut donc conclure en l'espèce, à l'inexistence d'une telle comorbidité.</w:t>
      </w:r>
    </w:p>
    <w:p>
      <w:r>
        <w:rPr>
          <w:b/>
        </w:rPr>
        <w:t>E. 12</w:t>
      </w:r>
    </w:p>
    <w:p>
      <w:r>
        <w:t>Reste à examiner si la recourante remplit les autres critères permettant de reconnaître le trouble somatoforme douloureux comme une maladie psychiatrique invalidante au sens de l'assurance-invalidité. S’il ne fait pas de doute que la recourante est atteinte d’affections corporelles chroniques (en particulier de lombalgies) et que le processus maladif s’étant à ce jour sur plusieurs années sans rémission durable (symptomatologie inchangée ou progressive), force est de constater que l’intéressée ne souffre pas d'une perte d'intégration sociale dans toutes les manifestations de la vie. Il a été relevé qu'elle a toujours eu peu de loisirs et que son existence a de longue date été marquée par une aboulie et une anhédonie. Il apparaît que l'assurée continue à mener le style de vie qui était le sien avant l’apparition des symptômes maladifs et s’il existe certes une forme d’isolement social, celui-ci est dû en grande partie à des facteurs psychosociaux et socioculturels (linguistiques entre autres) dont l’assurance- invalidité n’a pas à répondre (cf. ATF 127 V 294 consid. 5a). Quant à l’état psychique, au vu des différentes opinions médicales au dossier, il apparaît qu’il n’est manifestement pas cristallisé, sans évolution possible au plan thérapeutique ; quoiqu’il en soit, il n’est nullement allégué que l’assurée aurait tenté tous les traitements possibles et que l’ensemble de ceux-ci se seraient soldés par un échec. En conséquence, la fibromyalgie dont souffre la recourante ne saurait se voir reconnaître un caractère invalidant. Il faut donc conclure à l’absence de droit à des prestations d’assurance en ce qui concerne la fibromyalgie, de sorte que l'invalidité de la recourante doit être établie au regard des seuls diagnostics de lombalgies chroniques persistantes dans le cadre de troubles statiques et dégénératifs, syndrome rotulien bilatéral et troubles statiques plantaires.</w:t>
      </w:r>
    </w:p>
    <w:p>
      <w:r>
        <w:t>A/2700/2006 - 15/18 - Or, les experts ont estimé que ces atteintes n'empêcheraient pas la recourante d'exercer à plein temps une activité adaptée qu'ils ont décrite comme devant tenir compte des limitations de l'assurée compte tenu des atteintes au rachis, aux genoux et aux pieds, à savoir : nécessité de pouvoir alterner une fois par heure la position assise et la position debout, pas de soulèvement régulier de charge d'un poids excédant huit kilogrammes, pas de port régulier de charges excédant douze kilogrammes, pas de travail en porte-à-faux statique prolongé du tronc, pas de travail devant se dérouler à genoux ni de travail imposant des génuflexions ou le déplacement régulier en terrain inégal ou encore le franchissement régulier d'escabeaux, d'échelles ou d'escaliers, pas de travail s'effectuant en position debout statique exclusive. Ce faisant, les médecins du SMR ont pris en considération les atteintes à la santé de l'assurée. Quant à la surcharge pondérale dont souffre cette dernière, le Dr L_________ lui a indiqué, dans l'un de ses premiers rapports médicaux (du 31 mars 2003) qu'elle était sans répercussion sur la capacité de travail. Nul doute que cette affection a des conséquences sur les troubles orthopédiques de l'assurée, dont on a cependant vu qu'ils ont été pris en compte par le SMR dans son appréciation. C'est par conséquence à juste titre que l'intimé a retenu une capacité de travail entière dans une activité adaptée. Reste à examiner le calcul du degré d'invalidité auquel s'est livré l'intimé.</w:t>
      </w:r>
    </w:p>
    <w:p>
      <w:r>
        <w:rPr>
          <w:b/>
        </w:rPr>
        <w:t>E. 13</w:t>
      </w:r>
    </w:p>
    <w:p>
      <w:r>
        <w:t>a) Selon l'art. 28 al. 1 LAI dans sa teneur en vigueur jusqu'au 31 décembre 2003, l'assuré a droit à une rente entière s'il est invalide à 66 2/3 % au moins, à une demi- 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 nouveau droit n'a pas modifié l'échelonnement des rentes (art. 28 al. 1 LAI) en tant qu'il se rapporte au quart et à la demi-rente, mais il permet d'octroyer trois- quarts de rente à l'assuré dont le degré d'invalidité atteint 60 %, alors que le taux ouvrant droit à une rente entière est passé de 66 à 70 %. b) En l’absence d’atteinte à la santé, la recourante aurait selon toute vraisemblance continué à travailler pour son ancien employeur, de sorte que le revenu sans invalidité doit en principe être déduit des salaires réalisés en dernier lieu par</w:t>
      </w:r>
    </w:p>
    <w:p>
      <w:r>
        <w:t>A/2700/2006 - 16/18 - l’intéressée (cf. MEYER-BLASER, Bundesgesetz über die Invalidenversicherung [IVG], p. 205). En l'occurrence, c'est donc à bon droit que l'intimé a retenu le revenu que l'assurée aurait réalisé sans invalidité en 2002, soit 37'877 fr. (37'134.- en 2001 = 37'877.- en 2002 compte tenu d'une augmentation de 2%). S'agissant du revenu avec invalidité, il y a lieu de rappeler qu'en l’absence d’un revenu effectivement réalisé, il y a lieu de l'évaluer en se fondant sur les données statistiques (cf. ATF 126 V 76), en se référant à la statistique des salaires bruts standardisés – médiane ou valeur centrale (ATF 124 V 323 consid. 3b/bb). En l’espèce, entre en considération une activité de substitution à 100 % permettant d'alterner les positions assise et debout, évitant le soulèvement régulier de charges d'un poids excédant huit kilogrammes, le port régulier de charges excédant douze kilogrammes, le travail en porte-à-faux statique prolongé du tronc, le travail à genoux, le déplacement régulier en terrain inégal ou encore le franchissement régulier d'escabeaux, d'échelles ou d'escaliers. Eu égard à ces considérations, le salaire de référence est celui auquel peuvent prétendre des femmes effectuant des activités simples et répétitives (niveau de qualification 4) dans les domaines de la production ou des services du secteur privé, soit, en 2002, 45'840 fr. (cf. Enquête suisse sur la structure des salaires 2002, [ESS], TA1). Comme les salaires bruts standardisés tiennent compte d'un horaire de travail de 40 heures, soit une durée hebdomadaire inférieure à la moyenne usuelle dans les entreprises en 2002 (41,7 heures), ce montant doit être porté à 47'788 fr.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s. consid. 5b/aa-cc; VSI 2002 p. 70 s. consid. 4b). En l'espèce, même si l'on admettait la réduction maximale de 25 %, on obtiendrait un degré d'invalidité de moins de 6%, insuffisant pour ouvrir droit à des prestations de l'assurance-invalidité. Dans la mesure où le montant retenu représente le salaire mensuel brut (valeur centrale) pour des postes de travail qui ne requièrent pas de qualifications professionnelles particulières, on peut admettre, que la plupart de ces emplois sont, abstraction faite des limitations éprouvées par la recourante, conformes aux aptitudes de celle-ci. Au regard du large éventail d'activités simples et répétitives que recouvrent les secteurs de la production et des services, on doit convenir qu'un nombre significatif de ces activités sont légères et adaptées au handicap de l'assuré. Le salaire statistique qui a été pris en considération est donc représentatif de ce que pourrait gagner la recourante, compte tenu d'un marché équilibré du travail (au sens</w:t>
      </w:r>
    </w:p>
    <w:p>
      <w:r>
        <w:t>A/2700/2006 - 17/18 - de l'art. 28 al. 2 aLAI ou 16 LPGA), en mettant à profit sa pleine capacité de travail dans une activité adaptée Eu égard aux considérations qui précèdent, c’est à raison que l’intimé a nié à l'assurée le droit à une rente d'invalidité. Partant, le recours, mal fondé, sera rejeté et l’émolument, fixé en l’espèce à 200 fr., sera mis à la charge de la recourante qui succombe.</w:t>
      </w:r>
    </w:p>
    <w:p>
      <w:r>
        <w:t>A/2700/2006 - 18/18 -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