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ATAS/450/2021 vom 12. Mai 2021</w:t>
      </w:r>
    </w:p>
    <w:p>
      <w:r>
        <w:t>GE Cour de justice, 2021-05-12, FR</w:t>
      </w:r>
    </w:p>
    <w:p>
      <w:r>
        <w:rPr>
          <w:b/>
        </w:rPr>
        <w:t xml:space="preserve">Quelle: </w:t>
      </w:r>
      <w:r>
        <w:t>https://mcp.opencaselaw.ch/entscheid/ge_gerichte_ATAS_450_2021</w:t>
      </w:r>
    </w:p>
    <w:p>
      <w:r>
        <w:t>FR: GE_GERICHTE ATAS/450/2021 du 12 mai 2021</w:t>
      </w:r>
    </w:p>
    <w:p>
      <w:r>
        <w:t>IT: GE_GERICHTE ATAS/450/2021 del 12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pendant, au 1er janvier 2021, devant la chambre de céans, il reste soumis à l'ancien droit (cf. art. 83 LPGA).</w:t>
      </w:r>
    </w:p>
    <w:p>
      <w:r>
        <w:rPr>
          <w:b/>
        </w:rPr>
        <w:t>E. 4</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28 janvier 2020, le droit éventuel aux prestations doit être examiné en fonction des modifications de la LAI, dans la mesure de leur pertinence (ATF 130 V 445 et les références; voir également ATF 130 V 329).</w:t>
      </w:r>
    </w:p>
    <w:p>
      <w:r>
        <w:rPr>
          <w:b/>
        </w:rPr>
        <w:t>E. 4.3</w:t>
      </w:r>
    </w:p>
    <w:p>
      <w:r>
        <w:t>et la référence ; arrêt du Tribunal fédéral 9C_724/2018 du 11 juillet 2019 consid. 7). En l’absence d’un diagnostic psychiatrique, une telle appréciation n’a</w:t>
      </w:r>
    </w:p>
    <w:p>
      <w:r>
        <w:t>A/661/2020 - 19/36 - pas non plus à être effectuée (arrêt du Tribunal fédéral 9C_176/2018 du 16 août 2018 consid. 3.2.2).</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t>A/661/2020 - 17/36 -</w:t>
      </w:r>
    </w:p>
    <w:p>
      <w:r>
        <w:rPr>
          <w:b/>
        </w:rPr>
        <w:t>E. 6</w:t>
      </w:r>
    </w:p>
    <w:p>
      <w:r>
        <w:t>Le litige porte sur le bien-fondé du refus de l’OAI de toute prestation d’invalidité en faveur de l’assuré.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w:t>
      </w:r>
    </w:p>
    <w:p>
      <w:r>
        <w:t>A/661/2020 - 18/36 -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w:t>
      </w:r>
    </w:p>
    <w:p>
      <w:r>
        <w:t>A/661/2020 - 20/36 -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A/661/2020 - 21/36 -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w:t>
      </w:r>
    </w:p>
    <w:p>
      <w:r>
        <w:t>A/661/2020 - 22/36 -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w:t>
      </w:r>
    </w:p>
    <w:p>
      <w:r>
        <w:t>A/661/2020 - 23/36 -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13</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A/661/2020 - 24/36 -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w:t>
      </w:r>
    </w:p>
    <w:p>
      <w:r>
        <w:rPr>
          <w:b/>
        </w:rPr>
        <w:t>E. 15</w:t>
      </w:r>
    </w:p>
    <w:p>
      <w:r>
        <w:t>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w:t>
      </w:r>
    </w:p>
    <w:p>
      <w:r>
        <w:t>A/661/2020 - 29/36 -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w:t>
      </w:r>
    </w:p>
    <w:p>
      <w:r>
        <w:t>A/661/2020 - 30/36 -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w:t>
      </w:r>
    </w:p>
    <w:p>
      <w:r>
        <w:t>A/661/2020 - 31/36 -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En l’espèce, la chambre de céans constate que l’expertise effectuée par la Dresse O______ a tenu compte des critères jurisprudentiels et est complète, claire et motivée. L’ensemble des éléments permettant d’appréhender la capacité de travail du recourant a été pris en compte et les conclusions sont bien motivées sur la base de critères objectifs, tout en mentionnant les déclarations et les plaintes de l’assuré. En comparaison, les pièces médicales de la Dresse M______, dont le mandataire de l’assuré fait grand cas, reposent essentiellement sur des éléments subjectifs issus des plaintes et déclarations de l’assuré ou – comme c’est le cas dans le « certificat médical du 10 février 2020 » d’une posture défensive de la Dresse M______ au regard des constatations, des critiques et des conclusions de la Dresse O______. L’absence d’éléments objectivables est patente. Ce manque de précision est confirmé par la teneur du court certificat médical du 6 juillet 2020 rédigé par le Dresse M______ – postérieur à la décision querellée – mentionnant que « l’état psychique (de l’assuré) s’est aggravé pendant la période de confinement » sans fournir aucun élément permettant de comprendre ou d’objectiver ladite aggravation. En ce qui concerne les pièces médicales du Dr I______, ce dernier a pu démontrer les troubles cardiaques de son patient mais n’a apporté aucun élément objectif qui justifierait d’une incapacité de travail due à des causes somatiques dans une activité adaptée. Les limitations fonctionnelles précises et plausibles qu’il a mises en lumière ont par ailleurs été intégralement admises par l’OAI. Bien qu’il indique dans son court certificat médical du 2 juillet 2020 – postérieur à la décision querellée – que l’état de santé de l’assuré s’est aggravé sur le plan somatique « depuis le COVID-19 », il ne fournit aucun élément objectif permettant de comprendre ou d’objectiver ladite aggravation. Le recourant se contente de critiquer les observations et conclusions de l’expertise en les comparant, chaque fois, avec les propres conclusions de la Dresse M______ ; or, comme cela a été vu supra, la différence qualitative entre le travail d’évaluation fourni, respectivement, par l’experte et par la psychiatre de l’assuré, dans la rigueur et l’objectivité des éléments pris en compte, ne permet pas de retenir les arguments développés par la Dresse M______, ce d’autant moins que, conformément à la jurisprudence en la matière, le juge peut et doit tenir compte du fait que, selon l'expérience, le médecin traitant est généralement enclin, en cas de doute, à prendre parti pour son patient en raison de la relation de confiance qui l'unit à ce dernier.</w:t>
      </w:r>
    </w:p>
    <w:p>
      <w:r>
        <w:t>A/661/2020 - 32/36 - Les critiques et prétendues contradictions cités par le mandataire du recourant ne sont pas de nature à remettre en question le bien-fondé de l’expertise. La chambre de céans considère notamment qu’en ce qui concerne l’allégation de dépendance aux benzodiazépines, l’experte s’est fondée sur les déclarations de l’expertisé et a défendu une opinion différente de celle du psychiatre traitant qui estimait qu’une telle dépendance existait. Toutefois, dans la mesure où ni le psychiatre traitant, ni le mandataire du recourant n’ont démontré en quoi une telle dépendance – si tant est qu’elle existât – était de nature à modifier de nature significative la capacité de travail de l’assuré, ce point n’a pas besoin d’être développé. En ce qui concerne la prétendue non prise en compte, par l’experte, du rapport des HUG, du 27 septembre 2018 rédigé par la Dresse K______, ce point est erroné, dès lors qu’il a fait l’objet d’un long compte-rendu, en page 12 de l’expertise. Enfin, les éléments retenus par l’experte concernant la vie sociale de l’assuré sont fondés sur les propres déclarations de ce dernier, ainsi que sur les éléments de l’anamnèse ; on peine à comprendre les raisons pour lesquelles l’experte aurait eu tort de les prendre en compte ; il s’agit, à nouveau, d’une différence d’appréciation entre l’experte et la psychiatre du recourant. Compte tenu de la qualité de l’expertise psychiatrique et de la prise en compte des éléments somatiques décrits par le Dr I______, par l’OAI, il est inutile d’ordonner une expertise judiciaire multi-disciplinaire, comme demandé par le recourant. De même, l’audition du recourant n’est pas nécessaire, celui-ci ayant pu largement faire valoir son point de vue dans ses écritures. Enfin, l’audition des médecin-traitants du recourant s’avère également superflue, leur point de vue médical étant connu de la chambre de céans, de par les nombreux certificats médicaux fournis et partant de l’appréciation anticipée qu’une audition ne pourrait qu’aboutir à une répétition orale desdits éléments. En ce qui concerne le revenu retenu par l’OAI, le mandataire du recourant ne critique pas le montant du salaire statistique pris en compte par l’intimé, mais allègue un abattement de 25%. Comme cela a été souligné par l’intimé, la nationalité étrangère ne saurait être prise en compte, le recourant étant présent en Suisse depuis plus de trente ans. Les prétendues faibles connaissances écrites du français ne peuvent pas non plus être retenues, le recours manuscrit de l’assuré étant parfaitement compréhensible, même si l’on y trouve des fautes d’orthographe. Les limitations fonctionnelles n’entraînent, selon l’appréciation de la chambre de céans, pas nécessairement un abattement. Dès lors que l’activité adaptée entrant en ligne de compte respecte les restrictions physiques du recourant, une déduction sur le salaire statistique ne se justifie pas pour tenir compte des circonstances liées à ses limites fonctionnelles. En effet, la question de savoir s'il se justifie de procéder à un</w:t>
      </w:r>
    </w:p>
    <w:p>
      <w:r>
        <w:t>A/661/2020 - 33/36 -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arrêt du Tribunal fédéral 8C_661/2018 du 28 octobre 2019 consid. 3.3.4.3. et la référence). Or, in casu, des emplois existent dans différents domaines du domaine privé qui sont compatibles avec les limitations retenues par l’OAI. S’agissant de l’éloignement du marché du travail et l’âge du recourant, ces deux critères semblent pertinents au regard de la situation concrète du recourant, mais doivent être nuancés dès lors qu’il s’avère que l’assuré a déclaré avoir exercé une activité indépendante dans un night-club jusqu’en 2017. Conformément à la jurisprudence, la chambre de céans, doit faire preuve de retenue par rapport à l’appréciation de l’OAI. Toutefois, en tenant compte de ces deux derniers critères, soit l’âge et l’éloignement du marché du travail, un taux d’abattement de 10%, au maximum, pourrait être envisagé sur le salaire statistique de CHF 67'102.- retenu par l’OAI, ce qui aurait pour effet de réduire ce dernier à un montant de CHF 60'401.-, dans une activité adaptée avec invalidité et ce qui conduirait à une perte de gain d’un montant de CHF 6’710.- et à un taux d’invalidité de 9,98%, arrondi à 10% ([67’102 – 60’401] / 67’102 × 100). Comme on le voit, le taux d’invalidité de 10% qui en résulterait, en appliquant un abattement de 10%, serait dans tous les cas, inférieur au seuil de 40% ouvrant le droit à une rente invalidité. En dernier, lieu, le recourant conclut, à titre subsidiaire, à l’octroi de mesures de réadaptation, propres, selon lui, à améliorer sa capacité de gain et de réinsertion professionnelle, afin d’éviter une péjoration de son état psychique.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w:t>
      </w:r>
    </w:p>
    <w:p>
      <w:r>
        <w:t>A/661/2020 - 34/36 -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vue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Une perte de gain de 20% environ ouvre en principe droit à une mesure de reclassement dans une nouvelle profession (ATF 124 V 108 consid. 2b et les arrêts cités). En l’occurrence, comme cela résulte du calcul effectué supra, on constate que même en appliquant un abattement de 10%, la perte de gain qui résulterait de la comparaison entre une activité sans invalidité et une activité avec invalidité serait de 10% soit un taux inférieur au seuil de 20% permettant de demander l’octroi de mesures de reclassement professionnel. Étant encore précisé que le salaire statistique retenu par l’OAI correspond à des activités simples, ne demandant pas de connaissances particulières et pouvant être exercées en tenant compte des limitations fonctionnelles du recourant, soit éviter les efforts importants et travailler dans un environnement qui ne le soumette pas au stress (troubles cardiaques) et le soustraie à des horaires irréguliers (diabète).</w:t>
      </w:r>
    </w:p>
    <w:p>
      <w:r>
        <w:t>A/661/2020 - 35/36 - Compte tenu de la double formation du recourant, et du large éventail d’activités lucratives permettant de remplir les critères de limitation retenus par l’OAI, il ne se justifie pas, in casu, d’accorder des mesures de réadaptation professionnelle dont on peine à discerner en quoi elles seraient susceptibles d’améliorer la capacité de gain du recourant. Étant encore précisé que, selon les observations de l’experte, l’assuré s’est installé dans une posture où il ne voit pas quelle activité il pourrait entreprendre et reste dans l’attente d’une rente invalidité. En raison des autolimitations décrites par l’experte, le recourant n’envisage apparemment pas de reprendre une activité lucrative. Partant, la chambre de céans considère que d’éventuelles mesures de reclassement seraient, au degré de la vraisemblance prépondérante, probablement vouées à l’insuccès, en raison du manque de motivation du recourant.</w:t>
      </w:r>
    </w:p>
    <w:p>
      <w:r>
        <w:rPr>
          <w:b/>
        </w:rPr>
        <w:t>E. 20</w:t>
      </w:r>
    </w:p>
    <w:p>
      <w:r>
        <w:t>Au vu de ce qui précède, le recours sera rejeté et le recourant sera condamné au paiement d'un émolument de CHF 200.- (art. 69 al. 1bis LAI).</w:t>
      </w:r>
    </w:p>
    <w:p>
      <w:r>
        <w:t>A/661/2020 - 36/36 -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