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ATAS/450/2010 vom 28. April 2010</w:t>
      </w:r>
    </w:p>
    <w:p>
      <w:r>
        <w:t>GE Cour de justice, 2010-04-28, FR</w:t>
      </w:r>
    </w:p>
    <w:p>
      <w:r>
        <w:rPr>
          <w:b/>
        </w:rPr>
        <w:t xml:space="preserve">Quelle: </w:t>
      </w:r>
      <w:r>
        <w:t>https://mcp.opencaselaw.ch/entscheid/ge_gerichte_ATAS_450_2010</w:t>
      </w:r>
    </w:p>
    <w:p>
      <w:r>
        <w:t>FR: GE_GERICHTE ATAS/450/2010 du 28 avril 2010</w:t>
      </w:r>
    </w:p>
    <w:p>
      <w:r>
        <w:t>IT: GE_GERICHTE ATAS/450/2010 del 28 aprile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 dans les forme et délai prévus par la loi, le présent recours est recevable (art. 56 à 61 LPGA), sous réserve de ce qui suit.</w:t>
      </w:r>
    </w:p>
    <w:p>
      <w:r>
        <w:rPr>
          <w:b/>
        </w:rPr>
        <w:t>E. 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125 V 413 consid. 1a p. 414; 119 Ib 33 consid. 1b p. 36 et les références citées). En l’espèce, la décision du 7 septembre 2009 porte uniquement sur le refus d’entrer en matière sur une demande de prestations, de sorte que les conclusions du recourant tendant à l’octroi d’une rente de l’assurance-invalidité et d’une mesure d’ordre professionnel sont irrecevables.</w:t>
      </w:r>
    </w:p>
    <w:p>
      <w:r>
        <w:rPr>
          <w:b/>
        </w:rPr>
        <w:t>E. 4</w:t>
      </w:r>
    </w:p>
    <w:p>
      <w:r>
        <w:t>Est ainsi litigieux le refus d’entrer en matière sur la nouvelle demande de prestations du recourant tendant à la modification de la décision d’octroi d'une rente d’invalidité limitée dans le temps, soit d’une demi-rente du 18 janvier au 31 décembre 2006 et d’une rente entière du 1er janvier 2007 au 31 mars 2008, décision entrée en force de chose décidée, ainsi qu'à l'octroi de mesures d’ordre professionnel.</w:t>
      </w:r>
    </w:p>
    <w:p>
      <w:r>
        <w:t>A/3614/2009 - 8/13 -</w:t>
      </w:r>
    </w:p>
    <w:p>
      <w:r>
        <w:rPr>
          <w:b/>
        </w:rPr>
        <w:t>E. 5</w:t>
      </w:r>
    </w:p>
    <w:p>
      <w:r>
        <w:t>a) Selon l’art. 17 al. 1er LPGA, si le taux d’invalidité du bénéficiaire de la rente subit une modification notable, la rente est, d’office ou sur demande, révisée pour l’avenir, à savoir augmentée ou réduite en conséquence, ou encore supprimée. L’entrée en vigueur de l’art. 17 LPGA, le 1er janvier 2003, n’a pas apporté de modification aux principes jurisprudentiels développés sous le régime de l’ancien art. 41 LAI, de sorte que ceux-ci demeurent applicables par analogie (ATF 130 V 343 consid. 3.5). b)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114 consid. 2b). Dans un arrêt du 16 octobre 2003 (ATF 130 V 64), le Tribunal fédéral a modifié sa jurisprudence relative à l’art. 87 al. 3 RAI (dans sa teneur en vigueur jusqu’au 31 décembre 2002) et jugé que le principe inquisitoire, selon lequel les faits pertinents de la cause doivent être constatés d’office par l’autorité (cf. ATF 125 V 193 consid. 2), ne s’applique pas à cette procédure. Eu égard au caractère atypique de celle-ci dans le droit des assurances sociales, notre Haute Cour a précisé que l’administration pouvait appliquer par analogie l’art. 73 RAI (en vigueur jusqu’au 31 décembre 2002 ; actuellement, voir l’art. 43 al. 3 LPGA), qui permet aux organes de l’assurance-invalidité de statuer en l’état du dossier en cas de refus de l’assuré de coopérer, à la procédure régie par l’art. 87 al. 3 RAI, à la condition de s’en tenir aux principes découlant de la protection de la bonne foi (cf. art. 5 al. 3 et</w:t>
      </w:r>
    </w:p>
    <w:p>
      <w:r>
        <w:rPr>
          <w:b/>
        </w:rPr>
        <w:t>E. 9</w:t>
      </w:r>
    </w:p>
    <w:p>
      <w:r>
        <w:t>Le recourant obtenant partiellement gain de cause, il lui sera accordé une indemnité de 500 fr. à titre de dépens (art. 89H al. 3 LPA).</w:t>
      </w:r>
    </w:p>
    <w:p>
      <w:r>
        <w:rPr>
          <w:b/>
        </w:rPr>
        <w:t>E. 10</w:t>
      </w:r>
    </w:p>
    <w:p>
      <w:r>
        <w:t>L'émolument de justice, fixé à 200 fr., est mis à la charge des parties à part égale.</w:t>
      </w:r>
    </w:p>
    <w:p>
      <w:r>
        <w:t>A/3614/2009 - 12/13 -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