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ATAS/44/2013 vom 27. März 2012</w:t>
      </w:r>
    </w:p>
    <w:p>
      <w:r>
        <w:t>GE Cour de justice, 2012-03-27, FR</w:t>
      </w:r>
    </w:p>
    <w:p>
      <w:r>
        <w:rPr>
          <w:b/>
        </w:rPr>
        <w:t xml:space="preserve">Quelle: </w:t>
      </w:r>
      <w:r>
        <w:t>https://mcp.opencaselaw.ch/entscheid/ge_gerichte_ATAS_44_2013</w:t>
      </w:r>
    </w:p>
    <w:p>
      <w:r>
        <w:t>FR: GE_GERICHTE ATAS/44/2013 du 27 mars 2012</w:t>
      </w:r>
    </w:p>
    <w:p>
      <w:r>
        <w:t>IT: GE_GERICHTE ATAS/44/2013 del 27 marzo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prescrits par la loi, le recours est recevable (art 56 ss LPGA, 9 de la loi cantonale du 14 octobre 1965 sur les prestations fédérales</w:t>
      </w:r>
    </w:p>
    <w:p>
      <w:r>
        <w:t>A/2799/2012 - 4/8 - complémentaires à l’assurance-vieillesse et survivants et à l’assurance-invalidité [LPFC; RSG J 7 10] et. 43 LPCC)).</w:t>
      </w:r>
    </w:p>
    <w:p>
      <w:r>
        <w:rPr>
          <w:b/>
        </w:rPr>
        <w:t>E. 3</w:t>
      </w:r>
    </w:p>
    <w:p>
      <w:r>
        <w:t>Est litigieuse en l'occurrence la question de savoir si la recourante peut bénéficier des prestations complémentaires fédérales et cantonales.</w:t>
      </w:r>
    </w:p>
    <w:p>
      <w:r>
        <w:rPr>
          <w:b/>
        </w:rPr>
        <w:t>E. 4</w:t>
      </w:r>
    </w:p>
    <w:p>
      <w:r>
        <w:t>En vertu de l'art. 4 LPC, les personnes qui ont leur domicile et leur résidence habituelle (art. 13 LPGA) en Suisse ont droit à des prestations complémentaires, dès lors qu’elles perçoivent, notamment, une rente de vieillesse (al. 1 let. a).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37'500 fr. pour les personnes seules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w:t>
      </w:r>
    </w:p>
    <w:p>
      <w:r>
        <w:rPr>
          <w:b/>
        </w:rPr>
        <w:t>E. 5</w:t>
      </w:r>
    </w:p>
    <w:p>
      <w:r>
        <w:t>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ne sont pas cumulatives, mais alternatives. Pour qu'un dessaisissement de fortune puisse être pris en compte dans le calcul des prestations complémentaires, la jurisprudence soumet cet acte à la condition qu'il ait été fait "sans obligation juridique",</w:t>
      </w:r>
    </w:p>
    <w:p>
      <w:r>
        <w:t>A/2799/2012 - 5/8 - respectivement "sans avoir reçu en échange une contre-prestation équivalente". La question de savoir si la renonciation à un élément de fortune en accomplissement d'un devoir moral constitue un dessaisissement de fortune a été laissée ouverte (ATF 131 V 329 consid. 4.2 à 4.4). b) Il y a lieu de prendre en compte dans le revenu déterminant tout dessaisissement sans limite de temps (Pierre FERRARI, Dessaisissement volontaire et prestations complémentaires à l'AVS/AI in RSAS 2002, p. 420). c)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consid. 3b). d) A teneur de l'art. 17a de l'ordonnance sur les prestations complémentaires à l’assurance-vieillesse, survivants et invalidité du 15 janvier 1971 (OPC-AVS/AI; RS 831.301), la part de fortune dessaisie à prendre en compte (art. 11 al. 1 let. g LPC) est réduite chaque année de 10'000 francs (al. 1).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t>A/2799/2012 - 6/8 -</w:t>
      </w:r>
    </w:p>
    <w:p>
      <w:r>
        <w:rPr>
          <w:b/>
        </w:rPr>
        <w:t>E. 6</w:t>
      </w:r>
    </w:p>
    <w:p>
      <w:r>
        <w:t>f)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w:t>
      </w:r>
    </w:p>
    <w:p>
      <w:r>
        <w:t>A/2799/2012 - 7/8 - ATF 108 V 229 consid. 2; ATFA non publié P 59/02 du 28 août 2003, consid. 3.3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l'espèce, la recourante ne conteste pas le principe de la prise en compte d'un bien dessaisi. Elle estime toutefois qu'il y a lieu de retenir également un montant de 3'000 fr. par mois à titre de dépenses extraordinaires pour son propre usage en 2011, même à défaut de pièces justificatives. Il ressort clairement de la jurisprudence de notre Haute Cour que seules les dépenses justifiées par pièce peuvent être prises en considération. Par ailleurs, tant que ces dépenses sont établies par pièce ou tout autre moyen de preuve, elles ne peuvent être considérées comme biens dessaisis, à moins que ces dépenses aient été effectuées sans aucune contreprestation équivalente. Il n'est donc nullement interdit de s'offrir des plaisirs et de vivre au-dessus de ses moyens, comme précisé dans la jurisprudence précitée. Il n'en demeure pas moins que les dépenses doivent pouvoir être vérifiées. La recourante a en l'occurrence uniquement justifié des dépenses personnelles pour un montant 3'944 fr. 25, somme que l’intimé a pris en compte dans son calcul. Le calcul n'étant pas contesté pour le surplus, il y a lieu d'admettre qu'il est conforme à la loi. Cela étant, l'intimé était fondé à refuser à la recourante les prestations complémentaires, hormis le subside à l'assurance-maladie.</w:t>
      </w:r>
    </w:p>
    <w:p>
      <w:r>
        <w:rPr>
          <w:b/>
        </w:rPr>
        <w:t>E. 9</w:t>
      </w:r>
    </w:p>
    <w:p>
      <w:r>
        <w:t>Par conséquent, le recours sera rejeté.</w:t>
      </w:r>
    </w:p>
    <w:p>
      <w:r>
        <w:rPr>
          <w:b/>
        </w:rPr>
        <w:t>E. 10</w:t>
      </w:r>
    </w:p>
    <w:p>
      <w:r>
        <w:t>La procédure est gratuite.</w:t>
      </w:r>
    </w:p>
    <w:p>
      <w:r>
        <w:t>A/2799/2012 - 8/8 -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