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ATAS/449/2025 vom 12. Juni 2025</w:t>
      </w:r>
    </w:p>
    <w:p>
      <w:r>
        <w:t>GE Cour de justice, 2025-06-12, FR</w:t>
      </w:r>
    </w:p>
    <w:p>
      <w:r>
        <w:rPr>
          <w:b/>
        </w:rPr>
        <w:t xml:space="preserve">Quelle: </w:t>
      </w:r>
      <w:r>
        <w:t>https://mcp.opencaselaw.ch/entscheid/ge_gerichte_ATAS_449_2025</w:t>
      </w:r>
    </w:p>
    <w:p>
      <w:r>
        <w:t>FR: GE_GERICHTE ATAS/449/2025 du 12 juin 2025</w:t>
      </w:r>
    </w:p>
    <w:p>
      <w:r>
        <w:t>IT: GE_GERICHTE ATAS/449/2025 del 12 giugno 2025</w:t>
      </w:r>
    </w:p>
    <w:p>
      <w:pPr>
        <w:pStyle w:val="Heading2"/>
      </w:pPr>
      <w:r>
        <w:t>Erwägungen</w:t>
      </w:r>
    </w:p>
    <w:p>
      <w:r>
        <w:rPr>
          <w:b/>
        </w:rPr>
        <w:t>E. 1.1</w:t>
      </w:r>
    </w:p>
    <w:p>
      <w:r>
        <w:t>Conformément à l'art. 134 al. 1 let. a ch. 2 de la loi sur l'organisation judiciaire, du 26 septembre 2010 (LOJ - E 2 05), la chambre des assurances</w:t>
      </w:r>
    </w:p>
    <w:p>
      <w:r>
        <w:t>A/984/2025 - 8/16 -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Au vu du précédent arrêt rendu par la chambre de céans et des conclusions de la recourante, le litige porte uniquement sur le droit de la recourante à des mesures d’ordre professionnel, plus particulièrement à un reclassement.</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il n’est pas contesté que le droit éventuel de la recourante à des mesures professionnelles est né antérieurement à cette date, de sorte que les dispositions légales applicables seront citées dans leur teneur en vigueur jusqu’au 31 décembre 2021.</w:t>
      </w:r>
    </w:p>
    <w:p>
      <w:r>
        <w:rPr>
          <w:b/>
        </w:rPr>
        <w:t>E. 3.2</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w:t>
      </w:r>
    </w:p>
    <w:p>
      <w:r>
        <w:t>A/984/2025 - 9/16 - si cette diminution résulte d'une atteinte à sa santé physique, mentale ou psychique et qu'elle persiste après les traitements et les mesures de réadaptation exigibles.</w:t>
      </w:r>
    </w:p>
    <w:p>
      <w:r>
        <w:rPr>
          <w:b/>
        </w:rPr>
        <w:t>E. 3.3</w:t>
      </w:r>
    </w:p>
    <w:p>
      <w:r>
        <w:t>; 126 V 353 consid. 5b ; 125 V 193 consid. 2). Aussi n’existe-t-il pas, en droit des assurances sociales, un principe selon lequel l’administration ou le juge devrait statuer, dans le doute, en faveur de l’assuré (ATF 135 V 39 consid. 6.1 et la référence).</w:t>
      </w:r>
    </w:p>
    <w:p>
      <w:r>
        <w:rPr>
          <w:b/>
        </w:rPr>
        <w:t>E. 4.1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t>A/984/2025 - 10/16 -</w:t>
      </w:r>
    </w:p>
    <w:p>
      <w:r>
        <w:rPr>
          <w:b/>
        </w:rPr>
        <w:t>E. 4.2</w:t>
      </w:r>
    </w:p>
    <w:p>
      <w:r>
        <w:t>À teneur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 delà du seuil d’équivalence, l’assurance-invalidité peut octroyer des contributions correspondant au droit à des prestations pour une mesure de reclassement équivalente (substitution de la prestation ; VSI 2002 p. 109 consid. 2b et les références). Le seuil minimum fixé par la jurisprudence pour ouvrir droit à une mesure de reclassement est une diminution de la capacité de gain de l'ordre de 20% (ATF 130 V 488 consid. 4.2 et les références ; 124 V 108 consid. 3a).</w:t>
      </w:r>
    </w:p>
    <w:p>
      <w:r>
        <w:rPr>
          <w:b/>
        </w:rPr>
        <w:t>E. 4.3</w:t>
      </w:r>
    </w:p>
    <w:p>
      <w:r>
        <w:t>Il faut également relever que si une perte de gain de 20%, environ, ouvre en principe droit à une mesure de reclassement dans une nouvelle profession</w:t>
      </w:r>
    </w:p>
    <w:p>
      <w:r>
        <w:t>A/984/2025 - 11/16 - (ATF 124 V 108 consid. 2b et les arrêts cités), la question reste ouverte s'agissant des autres mesures d'ordre professionnel prévues par la loi (cf. arrêt du Tribunal fédéral 9C_464/2009 du 31 mai 2010). Et même en matière de reclassement, ce taux ne constitue pas une limite absolue. Selon les circonstances du cas particulier, une invalidité légèrement inférieure à 20% peut ouvrir le droit à une mesure de reclassement (arrêt du Tribunal fédéral I 665/99 du 18 octobre 2000 consid. 4b). En outre,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 arrêt du Tribunal fédéral 9C_262/2016 du 30 août 2016 consid. 5.2). Enfin, on rappellera qu'il n'existe pas un droit inconditionnel à obtenir une mesure professionnelle (voir par ex. l'arrêt du Tribunal fédéral 9C_385/2009 du 13 octobre 2009).</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w:t>
      </w:r>
    </w:p>
    <w:p>
      <w:r>
        <w:rPr>
          <w:b/>
        </w:rPr>
        <w:t>E. 6</w:t>
      </w:r>
    </w:p>
    <w:p>
      <w:r>
        <w:t>En l’espèce, la recourante conclut à la mise sur pied de mesures d’ordre professionnel et plus particulièrement d’un reclassement.</w:t>
      </w:r>
    </w:p>
    <w:p>
      <w:r>
        <w:t>A/984/2025 - 12/16 - Le reclassement vise à permettre à l’assuré d’obtenir une possibilité de gain à peu près équivalente à celle que lui offrait son ancienne activité. Le reclassement est limité aux mesures nécessaires, qui sont propres à atteindre le but de réadaptation, mais non pas à celles qui seraient les meilleures dans son cas ; l’assuré ne peut en particulier prétendre une formation de niveau supérieur a son ancienne activité à moins que la nature et la gravité de l’invalidité sont telles que seule une formation de niveau supérieur lui permettrait de mettre à profit sa capacité de travail, à un niveau professionnel plus élevé.</w:t>
      </w:r>
    </w:p>
    <w:p>
      <w:r>
        <w:rPr>
          <w:b/>
        </w:rPr>
        <w:t>E. 6.1</w:t>
      </w:r>
    </w:p>
    <w:p>
      <w:r>
        <w:t>À teneur du dossier et plus particulièrement du CV de l’assurée, reçu par l’OAI en date du 22 mai 2018 (pièce 3 du chargé OAI), cette dernière a travaillé en qualité de secrétaire gestionnaire et conseillère, de 1997 à 2006, ce qui regroupait des activités de responsable d’administration de la société, de gestion complète d’environ 300 dossiers de location d’instruments de musique, de commandes auprès des fournisseurs, avec échelle de priorités et d’établissement de la structure des données informatiques pour plus de 4000 articles. De 2007 à 2015, elle a exercé plusieurs missions temporaires, en qualité d’assistante et secrétaire de direction, office manager et secrétaire polyvalente. Elle décrit s’être occupée de la gestion de la logistique de cours, séminaires et séances, de la gestion des agendas, des échéanciers, notamment de caractère politique, et du planning, de la rédaction de correspondances et communiqués de presse, de la gestion des postulations et tableau des présences pour le service RH et des vacances et enfin de la gestion des salles, de jardins familiaux, des liens entre diverses sociétés communales et de la caisse.</w:t>
      </w:r>
    </w:p>
    <w:p>
      <w:r>
        <w:rPr>
          <w:b/>
        </w:rPr>
        <w:t>E. 6.2</w:t>
      </w:r>
    </w:p>
    <w:p>
      <w:r>
        <w:t>S’agissant de sa formation, elle est titulaire d’un diplôme du collège de Swiss Mercantile Society à Londres (UK), sanctionnant une année d’études de 1989 à 1990, sur lequel figurent les notes dans 8 matières, celles-ci allant de 4.5 à 5.5, avec une moyenne générale légèrement supérieure à 5 ; elle a obtenu un CFC d’employé de commerce en septembre 2016, alors qu’elle était âgée de 52 ans ; elle a reçu une attestation de formation en management de projet, délivrée en mai 2017 sanctionnant ses compétences dans 10 modules concernant le management de l’intégration, du contenu, des délais, des coûts, de la qualité, des ressources humaines, des communications, des risques et enfin des approvisionnements.</w:t>
      </w:r>
    </w:p>
    <w:p>
      <w:r>
        <w:rPr>
          <w:b/>
        </w:rPr>
        <w:t>E. 6.3</w:t>
      </w:r>
    </w:p>
    <w:p>
      <w:r>
        <w:t>Ses certificats de travail sont élogieux, décrivant une personne agréable ayant donné entière satisfaction, disposant d’une bonne capacité d’adaptation, peu sensible au stress, étant dynamique et efficace. En particulier, le dernier certificat de travail délivré par l’Office pour l’orientation, la formation professionnelle et continue, qui date du 29 juillet 2016, fait état d’un travail en qualité de secrétaire à 100% pour une période de six mois et décrit une personne ayant démontré une très bonne capacité d’adaptation face aux exigences du poste, qui a fourni un travail d’excellente qualité, qui sait également faire preuve de calme dans des situations de surcharge et qui est dotée d’excellentes compétences informatiques. L’employeur souligne sa rapidité de compréhension, sa capacité d’initiative et son</w:t>
      </w:r>
    </w:p>
    <w:p>
      <w:r>
        <w:t>A/984/2025 - 13/16 - efficacité qui lui ont permis de toujours rendre des travaux de qualité. Sur un plan personnel, elle est décrite comme une personne d’humeur toujours égale, très agréable, souriante, attentive, impliquée dans son travail à l’égard du public, dotée d’un très bon esprit d’équipe et qui a entretenu de très bonnes relations avec son entourage professionnel.</w:t>
      </w:r>
    </w:p>
    <w:p>
      <w:r>
        <w:rPr>
          <w:b/>
        </w:rPr>
        <w:t>E. 6.4</w:t>
      </w:r>
    </w:p>
    <w:p>
      <w:r>
        <w:t>En vue d’évaluer la possibilité pour l’assurée de réintégrer un poste administratif à un taux d’activité de 100% et de déterminer une activité professionnelle correspondant à ses capacités actuelles, l’OAI a inscrit l’assurée à un stage de 42 jours, du 3 octobre au 2 décembre 2022, auprès de la Fondation PRO. Celle-ci a relevé, dans son rapport de synthèse, de bonnes connaissances au niveau administratif, un bon investissement dans les activités proposées et une aisance à créer des liens. Les compétences de l’assurée ont été estimées sur une échelle allant de 1 à 4, le chiffre 4 étant synonyme de compétence adaptée au premier marché. Dans ses compétences sociales et concernant l’attitude au travail, sur 7 items, elle a obtenu 6 fois la note 4 et une fois la note 3. Dans ses compétences en capacité cognitive, sur 6 items, elle a obtenu 5 fois la note 4 et une fois la note 3. Son état d’esprit et son humeur ont été estimés à 4 pour l’adaptation à la nouveauté, 3 pour la stabilité émotionnelle et 3 dans l’attitude face à la reprise du travail. S’agissant de la stabilité émotionnelle, il est noté que l’assurée se montre agréable et souriante la plupart du temps, fait preuve de flexibilité, d’adaptation et demande des retours sur son travail. Des signes d’irritabilité ainsi que des larmes sont régulièrement constatés en fin de journée, que la stagiaire explique par ses douleurs. S’agissant de son attitude face à la reprise du travail, l’assurée se dit volontaire à retrouver une activité professionnelle mais insiste, cependant, sur la nécessité d’avoir un horaire aménagé. Sa concentration fluctue et les erreurs d’attention se multiplient en cours de journée. Lorsqu’elle effectue une tâche, il est parfois nécessaire de lui rappeler de stopper son activité pour faire une pause. En conclusion de son rapport d’observation, la Fondation PRO décrit l’assurée comme une femme souriante et investie dans son travail, chez laquelle il a été constaté d’excellentes compétences administratives ainsi que dans les outils informatiques usuels. Les aménagements ergonomiques sont utilisés et des pauses régulières sont instaurées. La mesure a, malgré tout, mis en avant une instabilité au niveau du maintien postural et, à un taux d’activité de 100%, un rendement de 20%, l’assurée quittant quotidiennement son poste de manière prématurée. Lors d’une partie du stage effectué à 50%, les mêmes observations perdurent, l’assurée devant quotidiennement gérer ses émotions en salle de repos, en fin de journée. Le rendement observé, au taux d’activité de 50%, est de 35 à 40%.</w:t>
      </w:r>
    </w:p>
    <w:p>
      <w:r>
        <w:rPr>
          <w:b/>
        </w:rPr>
        <w:t>E. 6.5</w:t>
      </w:r>
    </w:p>
    <w:p>
      <w:r>
        <w:t>À teneur de ce qui précède, la chambre de céans considère qu’il est établi, au degré de la vraisemblance prépondérante, que l’assurée dispose des compétences techniques et sociales lui permettant d’exercer un travail administratif de secrétariat ainsi que d’une bonne expérience professionnelle dans ce domaine.</w:t>
      </w:r>
    </w:p>
    <w:p>
      <w:r>
        <w:t>A/984/2025 - 14/16 - De surcroît, son sens de l’initiative et ses capacités d’adaptation ont été particulièrement relevés, aussi bien par ses employeurs précédents que par la Fondation PRO. L’usage des outils informatiques courant est maîtrisé, ce qui s’oppose à l’argument de la recourante selon lequel une mesure de reclassement serait notamment nécessaire, en raison de la multiplication et de l’évolution des outils bureautiques (mémoire de recours, p. 8). En outre, le rapport de stage ne fait aucune mention d’une éventuelle difficulté qui serait due à l’éloignement du marché du travail, contrairement à ce qu’allègue la recourante (mémoire de recours, p. 8).</w:t>
      </w:r>
    </w:p>
    <w:p>
      <w:r>
        <w:rPr>
          <w:b/>
        </w:rPr>
        <w:t>E. 6.6</w:t>
      </w:r>
    </w:p>
    <w:p>
      <w:r>
        <w:t>Le seul obstacle que l’on peut raisonnablement identifier à la lecture du rapport de stage est celui de la gestion de la douleur physique au cours de la journée de travail ; néanmoins, il est peu probable qu’une mesure de réadaptation, et plus particulièrement un reclassement, dont la finalité est d’acquérir des compétences professionnelles, ne permette de diminuer les douleurs physiques. Un autre obstacle, inhérent à l’assurée et qui ne dépend pas de l’octroi de mesures de reclassement, est celui de l’âge de la recourante, née en 1964. Le rapport 2020 sur le chômage de longue durée publié par le Secrétariat d’État à l’économie, https://www.seco.admin.ch/seco/fr/home/Arbeit/Arbeitslosenversiche rung/arbeitslosigkeit/Langzeitarbeitslosigkeit.html, montre le lien direct qui existe entre le chômage de longue durée et l’âge de la personne. À titre d’exemple, le graphique publié, p. 13, montre que les personnes âgées de 60 ans et plus représentent 36.2% des chômeurs de longue durée alors que celles figurant dans la catégorie immédiatement inférieure de la tranche d’âge 55 à 59 ans, ne représentent que 23.2% des chômeurs de longue durée. Le graphique montre clairement que plus les personnes avancent en âge, plus elles connaissent des difficultés à retrouver un emploi. Cet élément est soulevé par la recourante, qui allègue qu’il s’agit clairement d’un désavantage sur le marché du travail (mémoire de recours, p. 8), ce que la chambre de céans admet. Cependant, la recourante n’explique pas en quoi une mesure de reclassement permettrait de contourner cet obstacle ou d’améliorer son employabilité. Enfin, même si, comme le soulève la recourante, le taux de 33% ouvre un droit au reclassement, celui-ci n’est pas inconditionnel. Ainsi que le rappelle la jurisprudence, pour déterminer si la mesure de reclassement est propre à maintenir ou à améliorer la capacité de gain d'un assuré, il convient d'effectuer un pronostic sur les chances de succès des mesures demandées (ATF 132 V 215 consid. 3.2.2 et les références). Ces mesures ne seront pas allouées si elles sont, selon toute vraisemblance, vouées à l'échec. Le droit à une mesure de réadaptation suppose en outre qu'elle soit appropriée au but</w:t>
      </w:r>
    </w:p>
    <w:p>
      <w:r>
        <w:t>A/984/2025 - 15/16 - de la réadaptation, poursuivi par l'assurance-invalidité, tant objectivement en ce qui concerne la mesure que sur le plan subjectif en ce qui concerne la personne de l'assuré. Or, comme cela a été examiné supra, aucune mesure de reclassement ne saurait faciliter la réadaptation si l’obstacle principal est constitué par l’âge de la recourante. Partant, il convient d’admettre qu’une mesure de reclassement n’aurait pas pour effet de diminuer les douleurs de la recourante, ni d’écarter l’obstacle psychologique que représente l’âge de l’assurée pour un employeur potentiel. Il résulte de ce qui précède qu’une mesure de reclassement n’est pas adéquate, ce qui rend inutile d’examiner les autres conditions.</w:t>
      </w:r>
    </w:p>
    <w:p>
      <w:r>
        <w:rPr>
          <w:b/>
        </w:rPr>
        <w:t>E. 7.1</w:t>
      </w:r>
    </w:p>
    <w:p>
      <w:r>
        <w:t>À l’aune de ces éléments, la chambre de céans n’a d’autre choix que de rejeter le recours.</w:t>
      </w:r>
    </w:p>
    <w:p>
      <w:r>
        <w:rPr>
          <w:b/>
        </w:rPr>
        <w:t>E. 7.2</w:t>
      </w:r>
    </w:p>
    <w:p>
      <w:r>
        <w:t>Pour le surplus, il y a lieu de condamner la recourante au paiement d'un émolument de CHF 200.- (art. 69 al. 1bis LAI).</w:t>
      </w:r>
    </w:p>
    <w:p>
      <w:r>
        <w:t>A/984/2025 - 16/16 -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