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ATAS/449/2022 vom 28. April 2022</w:t>
      </w:r>
    </w:p>
    <w:p>
      <w:r>
        <w:t>GE Cour de justice, 2022-04-28, FR</w:t>
      </w:r>
    </w:p>
    <w:p>
      <w:r>
        <w:rPr>
          <w:b/>
        </w:rPr>
        <w:t xml:space="preserve">Quelle: </w:t>
      </w:r>
      <w:r>
        <w:t>https://mcp.opencaselaw.ch/entscheid/ge_gerichte_ATAS_449_2022</w:t>
      </w:r>
    </w:p>
    <w:p>
      <w:r>
        <w:t>FR: GE_GERICHTE ATAS/449/2022 du 28 avril 2022</w:t>
      </w:r>
    </w:p>
    <w:p>
      <w:r>
        <w:t>IT: GE_GERICHTE ATAS/449/2022 del 28 aprile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A/4146/2021 - 5/7 -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82a LPGA).</w:t>
      </w:r>
    </w:p>
    <w:p>
      <w:r>
        <w:rPr>
          <w:b/>
        </w:rPr>
        <w:t>E. 4</w:t>
      </w:r>
    </w:p>
    <w:p>
      <w:r>
        <w:t>Interjeté dans la forme et le délai prévus par la loi, le recours est recevable.</w:t>
      </w:r>
    </w:p>
    <w:p>
      <w:r>
        <w:rPr>
          <w:b/>
        </w:rPr>
        <w:t>E. 5.1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w:t>
      </w:r>
    </w:p>
    <w:p>
      <w:r>
        <w:rPr>
          <w:b/>
        </w:rPr>
        <w:t>E. 5.2</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5.3</w:t>
      </w:r>
    </w:p>
    <w:p>
      <w:r>
        <w:t>En l’occurrence, l’objet du litige se limite en réalité à la question du bien- fondé de la décision de l’OAI de déclarer la demande de récusation formulée le 19 octobre 2021 par l’assuré irrecevable pour cause de tardiveté, soit bien au-delà du délai de douze jours qui lui avait été accordé le 27 août 2021, de sorte que la demande de récusation a été formulée tardivement, ce que le recourant ne conteste au demeurant pas. Le recours apparaît dès lors manifestement infondé. Quoi qu’il en soit, la question de la récusation du Dr C______ est désormais devenue sans objet, le médecin en question ayant depuis lors pris la décision de se récuser lui-même. Pour le reste, les conclusions du recourant relatives au fond du litige sont irrecevables à ce stade de la procédure.</w:t>
      </w:r>
    </w:p>
    <w:p>
      <w:r>
        <w:t>A/4146/2021 - 6/7 - Au vu des développements intervenus en audience et depuis lors, il convient de renvoyer la cause à l’intimé à charge pour ce dernier de mettre sur pied l’expertise psychiatrique à laquelle le recourant a déclaré être prêt à se soumettre. Dite expertise sera confiée soit au Prof. D______, soit au Dr E______, contre lesquels l’assuré a d’ores et déjà indiqué n’avoir aucun motif de récusation à faire valoir. L’assuré se présentera en temps et heure, accompagné s’il le souhaite d’une personne de confiance, qui sera tenue de ne pas intervenir lors de l’examen. L’expert reste seul maître de la méthodologie qui sera appliquée, mais devra en revanche veiller à fractionner son examen en deux parties au moins.</w:t>
      </w:r>
    </w:p>
    <w:p>
      <w:r>
        <w:t>A/4146/2021 - 7/7 -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